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44"/>
          <w:highlight w:val="none"/>
        </w:rPr>
      </w:pPr>
      <w:bookmarkStart w:id="0" w:name="_Toc287620665"/>
    </w:p>
    <w:p>
      <w:pPr>
        <w:spacing w:line="360" w:lineRule="auto"/>
        <w:jc w:val="center"/>
        <w:rPr>
          <w:rFonts w:ascii="宋体" w:hAnsi="宋体"/>
          <w:color w:val="auto"/>
          <w:kern w:val="0"/>
          <w:sz w:val="44"/>
          <w:szCs w:val="44"/>
          <w:highlight w:val="none"/>
        </w:rPr>
      </w:pPr>
      <w:r>
        <w:rPr>
          <w:rFonts w:hint="eastAsia" w:ascii="宋体" w:hAnsi="宋体"/>
          <w:color w:val="auto"/>
          <w:kern w:val="0"/>
          <w:sz w:val="44"/>
          <w:szCs w:val="44"/>
          <w:highlight w:val="none"/>
        </w:rPr>
        <w:t xml:space="preserve"> </w:t>
      </w:r>
      <w:r>
        <w:rPr>
          <w:rFonts w:hint="eastAsia" w:ascii="宋体" w:hAnsi="宋体"/>
          <w:color w:val="auto"/>
          <w:kern w:val="0"/>
          <w:sz w:val="44"/>
          <w:szCs w:val="44"/>
          <w:highlight w:val="none"/>
          <w:lang w:eastAsia="zh-CN"/>
        </w:rPr>
        <w:t>酉阳县实验中学校塑胶运动场维修改造项目</w:t>
      </w:r>
      <w:r>
        <w:rPr>
          <w:rFonts w:hint="eastAsia" w:ascii="宋体" w:hAnsi="宋体"/>
          <w:color w:val="auto"/>
          <w:kern w:val="0"/>
          <w:sz w:val="44"/>
          <w:szCs w:val="44"/>
          <w:highlight w:val="none"/>
        </w:rPr>
        <w:t xml:space="preserve"> </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b/>
          <w:color w:val="auto"/>
          <w:kern w:val="0"/>
          <w:sz w:val="84"/>
          <w:szCs w:val="84"/>
          <w:highlight w:val="none"/>
        </w:rPr>
      </w:pPr>
    </w:p>
    <w:p>
      <w:pPr>
        <w:autoSpaceDE w:val="0"/>
        <w:autoSpaceDN w:val="0"/>
        <w:adjustRightInd w:val="0"/>
        <w:snapToGrid w:val="0"/>
        <w:spacing w:line="360" w:lineRule="auto"/>
        <w:jc w:val="center"/>
        <w:rPr>
          <w:rFonts w:ascii="宋体" w:hAnsi="宋体"/>
          <w:b/>
          <w:color w:val="auto"/>
          <w:kern w:val="0"/>
          <w:sz w:val="84"/>
          <w:szCs w:val="84"/>
          <w:highlight w:val="none"/>
        </w:rPr>
      </w:pPr>
      <w:r>
        <w:rPr>
          <w:rFonts w:hint="eastAsia" w:ascii="宋体" w:hAnsi="宋体"/>
          <w:b/>
          <w:color w:val="auto"/>
          <w:kern w:val="0"/>
          <w:sz w:val="84"/>
          <w:szCs w:val="84"/>
          <w:highlight w:val="none"/>
        </w:rPr>
        <w:t xml:space="preserve"> </w:t>
      </w:r>
      <w:r>
        <w:rPr>
          <w:rFonts w:ascii="宋体" w:hAnsi="宋体"/>
          <w:b/>
          <w:color w:val="auto"/>
          <w:kern w:val="0"/>
          <w:sz w:val="84"/>
          <w:szCs w:val="84"/>
          <w:highlight w:val="none"/>
        </w:rPr>
        <w:t>竞争性比选文件</w:t>
      </w:r>
    </w:p>
    <w:p>
      <w:pPr>
        <w:autoSpaceDE w:val="0"/>
        <w:autoSpaceDN w:val="0"/>
        <w:adjustRightInd w:val="0"/>
        <w:snapToGrid w:val="0"/>
        <w:spacing w:line="360" w:lineRule="auto"/>
        <w:jc w:val="left"/>
        <w:rPr>
          <w:rFonts w:ascii="宋体" w:hAnsi="宋体"/>
          <w:color w:val="auto"/>
          <w:kern w:val="0"/>
          <w:sz w:val="10"/>
          <w:szCs w:val="1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w w:val="99"/>
          <w:kern w:val="0"/>
          <w:sz w:val="28"/>
          <w:szCs w:val="28"/>
          <w:highlight w:val="none"/>
        </w:rPr>
        <w:t xml:space="preserve">    比选人</w:t>
      </w:r>
      <w:r>
        <w:rPr>
          <w:rFonts w:ascii="宋体" w:hAnsi="宋体"/>
          <w:b/>
          <w:color w:val="auto"/>
          <w:w w:val="99"/>
          <w:kern w:val="0"/>
          <w:sz w:val="28"/>
          <w:szCs w:val="28"/>
          <w:highlight w:val="none"/>
        </w:rPr>
        <w:t>：</w:t>
      </w:r>
      <w:r>
        <w:rPr>
          <w:rFonts w:hint="eastAsia" w:ascii="宋体" w:hAnsi="宋体"/>
          <w:b/>
          <w:color w:val="auto"/>
          <w:w w:val="99"/>
          <w:kern w:val="0"/>
          <w:sz w:val="28"/>
          <w:szCs w:val="28"/>
          <w:highlight w:val="none"/>
          <w:u w:val="single"/>
          <w:lang w:eastAsia="zh-CN"/>
        </w:rPr>
        <w:t>酉阳土家族苗族自治县实验中学校</w:t>
      </w:r>
      <w:r>
        <w:rPr>
          <w:rFonts w:hint="eastAsia" w:ascii="宋体" w:hAnsi="宋体"/>
          <w:b/>
          <w:color w:val="auto"/>
          <w:w w:val="99"/>
          <w:kern w:val="0"/>
          <w:sz w:val="28"/>
          <w:szCs w:val="28"/>
          <w:highlight w:val="none"/>
          <w:u w:val="single"/>
          <w:lang w:val="en-US" w:eastAsia="zh-CN"/>
        </w:rPr>
        <w:t xml:space="preserve">    </w:t>
      </w:r>
      <w:r>
        <w:rPr>
          <w:rFonts w:ascii="宋体" w:hAnsi="宋体"/>
          <w:b/>
          <w:color w:val="auto"/>
          <w:w w:val="99"/>
          <w:kern w:val="0"/>
          <w:sz w:val="28"/>
          <w:szCs w:val="28"/>
          <w:highlight w:val="none"/>
        </w:rPr>
        <w:t>（盖单位法人章）</w:t>
      </w:r>
    </w:p>
    <w:p>
      <w:pPr>
        <w:spacing w:line="500" w:lineRule="exact"/>
        <w:ind w:firstLine="594" w:firstLineChars="200"/>
        <w:outlineLvl w:val="0"/>
        <w:rPr>
          <w:rFonts w:ascii="宋体" w:hAnsi="宋体" w:cs="宋体"/>
          <w:b/>
          <w:color w:val="auto"/>
          <w:sz w:val="32"/>
          <w:szCs w:val="32"/>
          <w:highlight w:val="none"/>
        </w:rPr>
      </w:pPr>
      <w:bookmarkStart w:id="1" w:name="_Toc23638"/>
      <w:r>
        <w:rPr>
          <w:rFonts w:ascii="宋体" w:hAnsi="宋体"/>
          <w:b/>
          <w:color w:val="auto"/>
          <w:spacing w:val="8"/>
          <w:kern w:val="0"/>
          <w:sz w:val="28"/>
          <w:szCs w:val="28"/>
          <w:highlight w:val="none"/>
        </w:rPr>
        <w:t>比选代理机构：</w:t>
      </w:r>
      <w:r>
        <w:rPr>
          <w:rFonts w:hint="eastAsia" w:ascii="宋体" w:hAnsi="宋体"/>
          <w:b/>
          <w:color w:val="auto"/>
          <w:w w:val="99"/>
          <w:kern w:val="0"/>
          <w:sz w:val="28"/>
          <w:szCs w:val="28"/>
          <w:highlight w:val="none"/>
          <w:u w:val="single"/>
          <w:lang w:eastAsia="zh-CN"/>
        </w:rPr>
        <w:t>重庆炘盛工程项目管理有限公司</w:t>
      </w:r>
      <w:r>
        <w:rPr>
          <w:rFonts w:ascii="宋体" w:hAnsi="宋体"/>
          <w:color w:val="auto"/>
          <w:kern w:val="0"/>
          <w:sz w:val="28"/>
          <w:szCs w:val="28"/>
          <w:highlight w:val="none"/>
          <w:u w:val="single"/>
        </w:rPr>
        <w:tab/>
      </w:r>
      <w:r>
        <w:rPr>
          <w:rFonts w:hint="eastAsia" w:ascii="宋体" w:hAnsi="宋体"/>
          <w:color w:val="auto"/>
          <w:kern w:val="0"/>
          <w:sz w:val="28"/>
          <w:szCs w:val="28"/>
          <w:highlight w:val="none"/>
          <w:u w:val="single"/>
        </w:rPr>
        <w:t xml:space="preserve"> </w:t>
      </w:r>
      <w:r>
        <w:rPr>
          <w:rFonts w:ascii="宋体" w:hAnsi="宋体"/>
          <w:b/>
          <w:color w:val="auto"/>
          <w:w w:val="99"/>
          <w:kern w:val="0"/>
          <w:sz w:val="28"/>
          <w:szCs w:val="28"/>
          <w:highlight w:val="none"/>
        </w:rPr>
        <w:t>（盖单位法人章）</w:t>
      </w:r>
      <w:bookmarkEnd w:id="1"/>
    </w:p>
    <w:p>
      <w:pPr>
        <w:autoSpaceDE w:val="0"/>
        <w:autoSpaceDN w:val="0"/>
        <w:adjustRightInd w:val="0"/>
        <w:snapToGrid w:val="0"/>
        <w:spacing w:line="360" w:lineRule="auto"/>
        <w:rPr>
          <w:rFonts w:ascii="宋体" w:hAnsi="宋体"/>
          <w:b/>
          <w:color w:val="auto"/>
          <w:kern w:val="0"/>
          <w:sz w:val="20"/>
          <w:szCs w:val="20"/>
          <w:highlight w:val="none"/>
        </w:rPr>
      </w:pPr>
    </w:p>
    <w:p>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r>
        <w:rPr>
          <w:rFonts w:hint="eastAsia" w:ascii="宋体" w:hAnsi="宋体"/>
          <w:b/>
          <w:color w:val="auto"/>
          <w:spacing w:val="8"/>
          <w:kern w:val="0"/>
          <w:sz w:val="28"/>
          <w:szCs w:val="28"/>
          <w:highlight w:val="none"/>
          <w:u w:val="single"/>
        </w:rPr>
        <w:t>202</w:t>
      </w:r>
      <w:bookmarkStart w:id="2" w:name="_Toc536621766"/>
      <w:bookmarkStart w:id="3" w:name="_Toc536796736"/>
      <w:bookmarkStart w:id="4" w:name="_Toc13210649"/>
      <w:bookmarkStart w:id="5" w:name="_Toc536797277"/>
      <w:bookmarkStart w:id="6" w:name="_Toc509218549"/>
      <w:r>
        <w:rPr>
          <w:rFonts w:hint="eastAsia" w:ascii="宋体" w:hAnsi="宋体"/>
          <w:b/>
          <w:color w:val="auto"/>
          <w:spacing w:val="8"/>
          <w:kern w:val="0"/>
          <w:sz w:val="28"/>
          <w:szCs w:val="28"/>
          <w:highlight w:val="none"/>
          <w:u w:val="single"/>
        </w:rPr>
        <w:t xml:space="preserve">3 </w:t>
      </w:r>
      <w:r>
        <w:rPr>
          <w:rFonts w:ascii="宋体" w:hAnsi="宋体"/>
          <w:b/>
          <w:color w:val="auto"/>
          <w:spacing w:val="8"/>
          <w:kern w:val="0"/>
          <w:sz w:val="28"/>
          <w:szCs w:val="28"/>
          <w:highlight w:val="none"/>
        </w:rPr>
        <w:t>年</w:t>
      </w:r>
      <w:r>
        <w:rPr>
          <w:rFonts w:ascii="宋体" w:hAnsi="宋体"/>
          <w:b/>
          <w:color w:val="auto"/>
          <w:spacing w:val="8"/>
          <w:kern w:val="0"/>
          <w:sz w:val="28"/>
          <w:szCs w:val="28"/>
          <w:highlight w:val="none"/>
          <w:u w:val="single"/>
        </w:rPr>
        <w:t>　</w:t>
      </w:r>
      <w:r>
        <w:rPr>
          <w:rFonts w:hint="eastAsia" w:ascii="宋体" w:hAnsi="宋体"/>
          <w:b/>
          <w:color w:val="auto"/>
          <w:spacing w:val="8"/>
          <w:kern w:val="0"/>
          <w:sz w:val="28"/>
          <w:szCs w:val="28"/>
          <w:highlight w:val="none"/>
          <w:u w:val="single"/>
          <w:lang w:val="en-US" w:eastAsia="zh-CN"/>
        </w:rPr>
        <w:t>9</w:t>
      </w:r>
      <w:r>
        <w:rPr>
          <w:rFonts w:hint="eastAsia" w:ascii="宋体" w:hAnsi="宋体"/>
          <w:b/>
          <w:color w:val="auto"/>
          <w:spacing w:val="8"/>
          <w:kern w:val="0"/>
          <w:sz w:val="28"/>
          <w:szCs w:val="28"/>
          <w:highlight w:val="none"/>
          <w:u w:val="single"/>
        </w:rPr>
        <w:t xml:space="preserve"> </w:t>
      </w:r>
      <w:r>
        <w:rPr>
          <w:rFonts w:ascii="宋体" w:hAnsi="宋体"/>
          <w:b/>
          <w:color w:val="auto"/>
          <w:spacing w:val="8"/>
          <w:kern w:val="0"/>
          <w:sz w:val="28"/>
          <w:szCs w:val="28"/>
          <w:highlight w:val="none"/>
        </w:rPr>
        <w:t>月</w:t>
      </w:r>
      <w:r>
        <w:rPr>
          <w:rFonts w:hint="eastAsia" w:ascii="宋体" w:hAnsi="宋体"/>
          <w:b/>
          <w:color w:val="auto"/>
          <w:spacing w:val="8"/>
          <w:kern w:val="0"/>
          <w:sz w:val="28"/>
          <w:szCs w:val="28"/>
          <w:highlight w:val="none"/>
          <w:u w:val="single"/>
          <w:lang w:val="en-US" w:eastAsia="zh-CN"/>
        </w:rPr>
        <w:t xml:space="preserve"> 12 </w:t>
      </w:r>
      <w:r>
        <w:rPr>
          <w:rFonts w:ascii="宋体" w:hAnsi="宋体"/>
          <w:b/>
          <w:color w:val="auto"/>
          <w:spacing w:val="8"/>
          <w:kern w:val="0"/>
          <w:sz w:val="28"/>
          <w:szCs w:val="28"/>
          <w:highlight w:val="none"/>
        </w:rPr>
        <w:t>日</w:t>
      </w:r>
      <w:bookmarkEnd w:id="2"/>
      <w:bookmarkEnd w:id="3"/>
      <w:bookmarkEnd w:id="4"/>
      <w:bookmarkEnd w:id="5"/>
      <w:bookmarkEnd w:id="6"/>
    </w:p>
    <w:p>
      <w:pPr>
        <w:pStyle w:val="3"/>
        <w:spacing w:line="360" w:lineRule="auto"/>
        <w:jc w:val="center"/>
        <w:rPr>
          <w:rFonts w:ascii="宋体" w:hAnsi="宋体"/>
          <w:color w:val="auto"/>
          <w:w w:val="99"/>
          <w:kern w:val="0"/>
          <w:sz w:val="24"/>
          <w:highlight w:val="none"/>
        </w:rPr>
        <w:sectPr>
          <w:pgSz w:w="11907" w:h="16840"/>
          <w:pgMar w:top="1304" w:right="1134" w:bottom="1304" w:left="1304" w:header="851" w:footer="992" w:gutter="0"/>
          <w:pgNumType w:fmt="numberInDash" w:start="1"/>
          <w:cols w:space="720" w:num="1"/>
          <w:docGrid w:linePitch="312" w:charSpace="0"/>
        </w:sectPr>
      </w:pPr>
    </w:p>
    <w:p>
      <w:pPr>
        <w:pStyle w:val="128"/>
        <w:jc w:val="center"/>
        <w:rPr>
          <w:rFonts w:ascii="宋体" w:hAnsi="宋体"/>
          <w:color w:val="auto"/>
          <w:sz w:val="44"/>
          <w:szCs w:val="44"/>
          <w:highlight w:val="none"/>
        </w:rPr>
      </w:pPr>
      <w:bookmarkStart w:id="7" w:name="_Toc28843"/>
      <w:bookmarkStart w:id="8" w:name="_Toc5767"/>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7"/>
      <w:bookmarkEnd w:id="8"/>
    </w:p>
    <w:p>
      <w:pPr>
        <w:pStyle w:val="31"/>
        <w:tabs>
          <w:tab w:val="right" w:leader="dot" w:pos="9469"/>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p>
    <w:p>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"_Toc22647" </w:instrText>
      </w:r>
      <w:r>
        <w:rPr>
          <w:color w:val="auto"/>
          <w:highlight w:val="none"/>
        </w:rPr>
        <w:fldChar w:fldCharType="separate"/>
      </w:r>
      <w:r>
        <w:rPr>
          <w:rFonts w:ascii="宋体" w:hAnsi="宋体"/>
          <w:snapToGrid w:val="0"/>
          <w:color w:val="auto"/>
          <w:kern w:val="0"/>
          <w:highlight w:val="none"/>
        </w:rPr>
        <w:t>第一章  竞争性比选公告</w:t>
      </w:r>
      <w:r>
        <w:rPr>
          <w:color w:val="auto"/>
          <w:highlight w:val="none"/>
        </w:rPr>
        <w:tab/>
      </w:r>
      <w:r>
        <w:rPr>
          <w:color w:val="auto"/>
          <w:highlight w:val="none"/>
        </w:rPr>
        <w:fldChar w:fldCharType="begin"/>
      </w:r>
      <w:r>
        <w:rPr>
          <w:color w:val="auto"/>
          <w:highlight w:val="none"/>
        </w:rPr>
        <w:instrText xml:space="preserve"> PAGEREF _Toc22647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"_Toc17607" </w:instrText>
      </w:r>
      <w:r>
        <w:rPr>
          <w:color w:val="auto"/>
          <w:highlight w:val="none"/>
        </w:rPr>
        <w:fldChar w:fldCharType="separate"/>
      </w:r>
      <w:r>
        <w:rPr>
          <w:rFonts w:ascii="宋体" w:hAnsi="宋体"/>
          <w:snapToGrid w:val="0"/>
          <w:color w:val="auto"/>
          <w:kern w:val="0"/>
          <w:highlight w:val="none"/>
        </w:rPr>
        <w:t>第二章  比选申请人须知</w:t>
      </w:r>
      <w:r>
        <w:rPr>
          <w:color w:val="auto"/>
          <w:highlight w:val="none"/>
        </w:rPr>
        <w:tab/>
      </w:r>
      <w:r>
        <w:rPr>
          <w:color w:val="auto"/>
          <w:highlight w:val="none"/>
        </w:rPr>
        <w:fldChar w:fldCharType="begin"/>
      </w:r>
      <w:r>
        <w:rPr>
          <w:color w:val="auto"/>
          <w:highlight w:val="none"/>
        </w:rPr>
        <w:instrText xml:space="preserve"> PAGEREF _Toc17607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"_Toc10324" </w:instrText>
      </w:r>
      <w:r>
        <w:rPr>
          <w:color w:val="auto"/>
          <w:highlight w:val="none"/>
        </w:rPr>
        <w:fldChar w:fldCharType="separate"/>
      </w:r>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r>
        <w:rPr>
          <w:color w:val="auto"/>
          <w:highlight w:val="none"/>
        </w:rPr>
        <w:tab/>
      </w:r>
      <w:r>
        <w:rPr>
          <w:color w:val="auto"/>
          <w:highlight w:val="none"/>
        </w:rPr>
        <w:fldChar w:fldCharType="begin"/>
      </w:r>
      <w:r>
        <w:rPr>
          <w:color w:val="auto"/>
          <w:highlight w:val="none"/>
        </w:rPr>
        <w:instrText xml:space="preserve"> PAGEREF _Toc10324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"_Toc19347" </w:instrText>
      </w:r>
      <w:r>
        <w:rPr>
          <w:color w:val="auto"/>
          <w:highlight w:val="none"/>
        </w:rPr>
        <w:fldChar w:fldCharType="separate"/>
      </w:r>
      <w:r>
        <w:rPr>
          <w:rFonts w:hint="eastAsia" w:ascii="宋体" w:hAnsi="宋体"/>
          <w:color w:val="auto"/>
          <w:kern w:val="0"/>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_Toc19347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"_Toc25828" </w:instrText>
      </w:r>
      <w:r>
        <w:rPr>
          <w:color w:val="auto"/>
          <w:highlight w:val="none"/>
        </w:rPr>
        <w:fldChar w:fldCharType="separate"/>
      </w:r>
      <w:r>
        <w:rPr>
          <w:rFonts w:hint="eastAsia" w:ascii="宋体" w:hAnsi="宋体"/>
          <w:color w:val="auto"/>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_Toc25828 \h </w:instrText>
      </w:r>
      <w:r>
        <w:rPr>
          <w:color w:val="auto"/>
          <w:highlight w:val="none"/>
        </w:rPr>
        <w:fldChar w:fldCharType="separate"/>
      </w:r>
      <w:r>
        <w:rPr>
          <w:color w:val="auto"/>
          <w:highlight w:val="none"/>
        </w:rPr>
        <w:t>189</w:t>
      </w:r>
      <w:r>
        <w:rPr>
          <w:color w:val="auto"/>
          <w:highlight w:val="none"/>
        </w:rPr>
        <w:fldChar w:fldCharType="end"/>
      </w:r>
      <w:r>
        <w:rPr>
          <w:color w:val="auto"/>
          <w:highlight w:val="none"/>
        </w:rPr>
        <w:fldChar w:fldCharType="end"/>
      </w:r>
    </w:p>
    <w:p>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"_Toc8668" </w:instrText>
      </w:r>
      <w:r>
        <w:rPr>
          <w:color w:val="auto"/>
          <w:highlight w:val="none"/>
        </w:rPr>
        <w:fldChar w:fldCharType="separate"/>
      </w:r>
      <w:r>
        <w:rPr>
          <w:rFonts w:hint="eastAsia" w:ascii="宋体" w:hAnsi="宋体"/>
          <w:color w:val="auto"/>
          <w:highlight w:val="none"/>
        </w:rPr>
        <w:t>第六章  图纸</w:t>
      </w:r>
      <w:r>
        <w:rPr>
          <w:color w:val="auto"/>
          <w:highlight w:val="none"/>
        </w:rPr>
        <w:tab/>
      </w:r>
      <w:r>
        <w:rPr>
          <w:color w:val="auto"/>
          <w:highlight w:val="none"/>
        </w:rPr>
        <w:fldChar w:fldCharType="begin"/>
      </w:r>
      <w:r>
        <w:rPr>
          <w:color w:val="auto"/>
          <w:highlight w:val="none"/>
        </w:rPr>
        <w:instrText xml:space="preserve"> PAGEREF _Toc8668 \h </w:instrText>
      </w:r>
      <w:r>
        <w:rPr>
          <w:color w:val="auto"/>
          <w:highlight w:val="none"/>
        </w:rPr>
        <w:fldChar w:fldCharType="separate"/>
      </w:r>
      <w:r>
        <w:rPr>
          <w:color w:val="auto"/>
          <w:highlight w:val="none"/>
        </w:rPr>
        <w:t>191</w:t>
      </w:r>
      <w:r>
        <w:rPr>
          <w:color w:val="auto"/>
          <w:highlight w:val="none"/>
        </w:rPr>
        <w:fldChar w:fldCharType="end"/>
      </w:r>
      <w:r>
        <w:rPr>
          <w:color w:val="auto"/>
          <w:highlight w:val="none"/>
        </w:rPr>
        <w:fldChar w:fldCharType="end"/>
      </w:r>
    </w:p>
    <w:p>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"_Toc10757" </w:instrText>
      </w:r>
      <w:r>
        <w:rPr>
          <w:color w:val="auto"/>
          <w:highlight w:val="none"/>
        </w:rPr>
        <w:fldChar w:fldCharType="separate"/>
      </w:r>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_Toc10757 \h </w:instrText>
      </w:r>
      <w:r>
        <w:rPr>
          <w:color w:val="auto"/>
          <w:highlight w:val="none"/>
        </w:rPr>
        <w:fldChar w:fldCharType="separate"/>
      </w:r>
      <w:r>
        <w:rPr>
          <w:color w:val="auto"/>
          <w:highlight w:val="none"/>
        </w:rPr>
        <w:t>193</w:t>
      </w:r>
      <w:r>
        <w:rPr>
          <w:color w:val="auto"/>
          <w:highlight w:val="none"/>
        </w:rPr>
        <w:fldChar w:fldCharType="end"/>
      </w:r>
      <w:r>
        <w:rPr>
          <w:color w:val="auto"/>
          <w:highlight w:val="none"/>
        </w:rPr>
        <w:fldChar w:fldCharType="end"/>
      </w:r>
    </w:p>
    <w:p>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"_Toc25783" </w:instrText>
      </w:r>
      <w:r>
        <w:rPr>
          <w:color w:val="auto"/>
          <w:highlight w:val="none"/>
        </w:rPr>
        <w:fldChar w:fldCharType="separate"/>
      </w:r>
      <w:r>
        <w:rPr>
          <w:rFonts w:hint="eastAsia" w:ascii="宋体" w:hAnsi="宋体"/>
          <w:color w:val="auto"/>
          <w:highlight w:val="none"/>
        </w:rPr>
        <w:t>第八章  比选申请文件格式</w:t>
      </w:r>
      <w:r>
        <w:rPr>
          <w:color w:val="auto"/>
          <w:highlight w:val="none"/>
        </w:rPr>
        <w:tab/>
      </w:r>
      <w:r>
        <w:rPr>
          <w:color w:val="auto"/>
          <w:highlight w:val="none"/>
        </w:rPr>
        <w:fldChar w:fldCharType="begin"/>
      </w:r>
      <w:r>
        <w:rPr>
          <w:color w:val="auto"/>
          <w:highlight w:val="none"/>
        </w:rPr>
        <w:instrText xml:space="preserve"> PAGEREF _Toc25783 \h </w:instrText>
      </w:r>
      <w:r>
        <w:rPr>
          <w:color w:val="auto"/>
          <w:highlight w:val="none"/>
        </w:rPr>
        <w:fldChar w:fldCharType="separate"/>
      </w:r>
      <w:r>
        <w:rPr>
          <w:color w:val="auto"/>
          <w:highlight w:val="none"/>
        </w:rPr>
        <w:t>195</w:t>
      </w:r>
      <w:r>
        <w:rPr>
          <w:color w:val="auto"/>
          <w:highlight w:val="none"/>
        </w:rPr>
        <w:fldChar w:fldCharType="end"/>
      </w:r>
      <w:r>
        <w:rPr>
          <w:color w:val="auto"/>
          <w:highlight w:val="none"/>
        </w:rPr>
        <w:fldChar w:fldCharType="end"/>
      </w:r>
    </w:p>
    <w:p>
      <w:pPr>
        <w:rPr>
          <w:rFonts w:ascii="宋体" w:hAnsi="宋体"/>
          <w:color w:val="auto"/>
          <w:highlight w:val="none"/>
        </w:rPr>
      </w:pPr>
      <w:r>
        <w:rPr>
          <w:rFonts w:ascii="宋体" w:hAnsi="宋体"/>
          <w:bCs/>
          <w:color w:val="auto"/>
          <w:szCs w:val="20"/>
          <w:highlight w:val="none"/>
          <w:lang w:val="zh-CN"/>
        </w:rPr>
        <w:fldChar w:fldCharType="end"/>
      </w:r>
    </w:p>
    <w:bookmarkEnd w:id="0"/>
    <w:p>
      <w:pPr>
        <w:spacing w:line="20" w:lineRule="exact"/>
        <w:rPr>
          <w:rFonts w:ascii="宋体" w:hAnsi="宋体"/>
          <w:color w:val="auto"/>
          <w:highlight w:val="none"/>
        </w:rPr>
      </w:pPr>
      <w:bookmarkStart w:id="9" w:name="_Toc430530414"/>
    </w:p>
    <w:p>
      <w:pPr>
        <w:spacing w:line="20" w:lineRule="exact"/>
        <w:jc w:val="left"/>
        <w:rPr>
          <w:rFonts w:ascii="宋体" w:hAnsi="宋体"/>
          <w:color w:val="auto"/>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9"/>
    <w:p>
      <w:pPr>
        <w:spacing w:line="360" w:lineRule="auto"/>
        <w:rPr>
          <w:rFonts w:ascii="宋体" w:hAnsi="宋体"/>
          <w:color w:val="auto"/>
          <w:highlight w:val="none"/>
        </w:rPr>
      </w:pPr>
    </w:p>
    <w:p>
      <w:pPr>
        <w:pStyle w:val="3"/>
        <w:spacing w:before="0" w:after="0" w:line="480" w:lineRule="auto"/>
        <w:jc w:val="center"/>
        <w:rPr>
          <w:rFonts w:ascii="宋体" w:hAnsi="宋体"/>
          <w:color w:val="auto"/>
          <w:sz w:val="52"/>
          <w:szCs w:val="52"/>
          <w:highlight w:val="none"/>
        </w:rPr>
      </w:pPr>
      <w:bookmarkStart w:id="10" w:name="_Toc509218690"/>
      <w:bookmarkStart w:id="11" w:name="_Toc9936"/>
      <w:bookmarkStart w:id="12" w:name="_Toc13564"/>
      <w:r>
        <w:rPr>
          <w:rFonts w:hint="eastAsia" w:ascii="宋体" w:hAnsi="宋体"/>
          <w:color w:val="auto"/>
          <w:sz w:val="52"/>
          <w:szCs w:val="52"/>
          <w:highlight w:val="none"/>
        </w:rPr>
        <w:t>第 一 卷</w:t>
      </w:r>
      <w:bookmarkEnd w:id="10"/>
      <w:bookmarkEnd w:id="11"/>
      <w:bookmarkEnd w:id="12"/>
    </w:p>
    <w:p>
      <w:pPr>
        <w:spacing w:line="200" w:lineRule="exact"/>
        <w:rPr>
          <w:rFonts w:ascii="宋体" w:hAnsi="宋体"/>
          <w:color w:val="auto"/>
          <w:highlight w:val="none"/>
        </w:rPr>
      </w:pPr>
      <w:r>
        <w:rPr>
          <w:rFonts w:ascii="宋体" w:hAnsi="宋体"/>
          <w:color w:val="auto"/>
          <w:highlight w:val="none"/>
        </w:rPr>
        <w:br w:type="page"/>
      </w:r>
    </w:p>
    <w:p>
      <w:pPr>
        <w:pStyle w:val="3"/>
        <w:spacing w:line="360" w:lineRule="auto"/>
        <w:jc w:val="center"/>
        <w:rPr>
          <w:rFonts w:ascii="宋体" w:hAnsi="宋体"/>
          <w:snapToGrid w:val="0"/>
          <w:color w:val="auto"/>
          <w:kern w:val="0"/>
          <w:highlight w:val="none"/>
        </w:rPr>
      </w:pPr>
      <w:bookmarkStart w:id="13" w:name="_Toc287620666"/>
      <w:bookmarkStart w:id="14" w:name="_Toc509218691"/>
      <w:bookmarkStart w:id="15" w:name="_Toc430530415"/>
      <w:bookmarkStart w:id="16" w:name="_Toc287607727"/>
      <w:bookmarkStart w:id="17" w:name="_Toc12819"/>
      <w:bookmarkStart w:id="18" w:name="_Toc224103298"/>
      <w:bookmarkStart w:id="19" w:name="_Toc277082535"/>
      <w:bookmarkStart w:id="20" w:name="_Toc22647"/>
      <w:r>
        <w:rPr>
          <w:rFonts w:ascii="宋体" w:hAnsi="宋体"/>
          <w:snapToGrid w:val="0"/>
          <w:color w:val="auto"/>
          <w:kern w:val="0"/>
          <w:highlight w:val="none"/>
        </w:rPr>
        <w:t>第一章  竞争性比选公告</w:t>
      </w:r>
      <w:bookmarkEnd w:id="13"/>
      <w:bookmarkEnd w:id="14"/>
      <w:bookmarkEnd w:id="15"/>
      <w:bookmarkEnd w:id="16"/>
      <w:bookmarkEnd w:id="17"/>
      <w:bookmarkEnd w:id="18"/>
      <w:bookmarkEnd w:id="19"/>
      <w:bookmarkEnd w:id="20"/>
    </w:p>
    <w:p>
      <w:pPr>
        <w:spacing w:line="360" w:lineRule="auto"/>
        <w:jc w:val="center"/>
        <w:rPr>
          <w:rFonts w:ascii="宋体" w:hAnsi="宋体"/>
          <w:snapToGrid w:val="0"/>
          <w:color w:val="auto"/>
          <w:w w:val="99"/>
          <w:kern w:val="0"/>
          <w:sz w:val="28"/>
          <w:szCs w:val="28"/>
          <w:highlight w:val="none"/>
        </w:rPr>
      </w:pPr>
      <w:r>
        <w:rPr>
          <w:rFonts w:ascii="宋体" w:hAnsi="宋体"/>
          <w:snapToGrid w:val="0"/>
          <w:color w:val="auto"/>
          <w:kern w:val="0"/>
          <w:sz w:val="28"/>
          <w:szCs w:val="28"/>
          <w:highlight w:val="none"/>
        </w:rPr>
        <w:t xml:space="preserve"> </w:t>
      </w:r>
      <w:r>
        <w:rPr>
          <w:rFonts w:hint="eastAsia" w:ascii="宋体" w:hAnsi="宋体"/>
          <w:snapToGrid w:val="0"/>
          <w:color w:val="auto"/>
          <w:kern w:val="0"/>
          <w:sz w:val="28"/>
          <w:szCs w:val="28"/>
          <w:highlight w:val="none"/>
          <w:lang w:eastAsia="zh-CN"/>
        </w:rPr>
        <w:t>酉阳县实验中学校塑胶运动场维修改造项目</w:t>
      </w:r>
      <w:r>
        <w:rPr>
          <w:rFonts w:hint="eastAsia" w:ascii="宋体" w:hAnsi="宋体"/>
          <w:snapToGrid w:val="0"/>
          <w:color w:val="auto"/>
          <w:w w:val="99"/>
          <w:kern w:val="0"/>
          <w:sz w:val="28"/>
          <w:szCs w:val="28"/>
          <w:highlight w:val="none"/>
        </w:rPr>
        <w:t xml:space="preserve"> </w:t>
      </w:r>
    </w:p>
    <w:p>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ascii="宋体" w:hAnsi="宋体"/>
          <w:snapToGrid w:val="0"/>
          <w:color w:val="auto"/>
          <w:kern w:val="0"/>
          <w:sz w:val="28"/>
          <w:szCs w:val="28"/>
          <w:highlight w:val="none"/>
        </w:rPr>
        <w:t>竞争性比选公告</w:t>
      </w:r>
    </w:p>
    <w:p>
      <w:pPr>
        <w:pStyle w:val="4"/>
        <w:spacing w:before="100" w:after="100" w:line="460" w:lineRule="exact"/>
        <w:rPr>
          <w:rFonts w:ascii="宋体" w:hAnsi="宋体"/>
          <w:snapToGrid w:val="0"/>
          <w:color w:val="auto"/>
          <w:sz w:val="28"/>
          <w:szCs w:val="28"/>
          <w:highlight w:val="none"/>
        </w:rPr>
      </w:pPr>
      <w:bookmarkStart w:id="21" w:name="_Toc287620667"/>
      <w:bookmarkStart w:id="22" w:name="_Toc509218692"/>
      <w:bookmarkStart w:id="23" w:name="_Toc277082536"/>
      <w:bookmarkStart w:id="24" w:name="_Toc27491"/>
      <w:bookmarkStart w:id="25" w:name="_Toc287607728"/>
      <w:bookmarkStart w:id="26" w:name="_Toc200359427"/>
      <w:bookmarkStart w:id="27" w:name="_Toc430530416"/>
      <w:bookmarkStart w:id="28" w:name="_Toc30320"/>
      <w:bookmarkStart w:id="29" w:name="_Toc200359238"/>
      <w:bookmarkStart w:id="30" w:name="_Toc224103299"/>
      <w:r>
        <w:rPr>
          <w:rFonts w:ascii="宋体" w:hAnsi="宋体"/>
          <w:snapToGrid w:val="0"/>
          <w:color w:val="auto"/>
          <w:sz w:val="28"/>
          <w:szCs w:val="28"/>
          <w:highlight w:val="none"/>
        </w:rPr>
        <w:t>1. 比选条件</w:t>
      </w:r>
      <w:bookmarkEnd w:id="21"/>
      <w:bookmarkEnd w:id="22"/>
      <w:bookmarkEnd w:id="23"/>
      <w:bookmarkEnd w:id="24"/>
      <w:bookmarkEnd w:id="25"/>
      <w:bookmarkEnd w:id="26"/>
      <w:bookmarkEnd w:id="27"/>
      <w:bookmarkEnd w:id="28"/>
      <w:bookmarkEnd w:id="29"/>
      <w:bookmarkEnd w:id="30"/>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本比选项目</w:t>
      </w:r>
      <w:r>
        <w:rPr>
          <w:rFonts w:hint="eastAsia" w:ascii="宋体" w:hAnsi="宋体" w:cs="宋体"/>
          <w:color w:val="auto"/>
          <w:szCs w:val="21"/>
          <w:highlight w:val="none"/>
          <w:u w:val="single"/>
          <w:lang w:eastAsia="zh-CN"/>
        </w:rPr>
        <w:t>酉阳县实验中学校塑胶运动场维修改造项目</w:t>
      </w:r>
      <w:r>
        <w:rPr>
          <w:rFonts w:ascii="宋体" w:hAnsi="宋体"/>
          <w:snapToGrid w:val="0"/>
          <w:color w:val="auto"/>
          <w:kern w:val="0"/>
          <w:szCs w:val="21"/>
          <w:highlight w:val="none"/>
        </w:rPr>
        <w:t>已由</w:t>
      </w:r>
      <w:r>
        <w:rPr>
          <w:rFonts w:hint="eastAsia" w:ascii="宋体" w:hAnsi="宋体" w:cs="宋体"/>
          <w:color w:val="auto"/>
          <w:szCs w:val="21"/>
          <w:highlight w:val="none"/>
          <w:u w:val="single"/>
        </w:rPr>
        <w:t>酉阳土家族苗族自治县发展和改革委员会</w:t>
      </w:r>
      <w:r>
        <w:rPr>
          <w:rFonts w:ascii="宋体" w:hAnsi="宋体"/>
          <w:snapToGrid w:val="0"/>
          <w:color w:val="auto"/>
          <w:kern w:val="0"/>
          <w:szCs w:val="21"/>
          <w:highlight w:val="none"/>
        </w:rPr>
        <w:t>以</w:t>
      </w:r>
      <w:r>
        <w:rPr>
          <w:rFonts w:hint="eastAsia" w:ascii="宋体" w:hAnsi="宋体" w:cs="宋体"/>
          <w:color w:val="auto"/>
          <w:szCs w:val="21"/>
          <w:highlight w:val="none"/>
          <w:u w:val="single"/>
        </w:rPr>
        <w:t>酉阳发改审[202</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264</w:t>
      </w:r>
      <w:r>
        <w:rPr>
          <w:rFonts w:hint="eastAsia" w:ascii="宋体" w:hAnsi="宋体" w:cs="宋体"/>
          <w:color w:val="auto"/>
          <w:szCs w:val="21"/>
          <w:highlight w:val="none"/>
          <w:u w:val="single"/>
        </w:rPr>
        <w:t>号文件</w:t>
      </w:r>
      <w:r>
        <w:rPr>
          <w:rFonts w:ascii="宋体" w:hAnsi="宋体"/>
          <w:snapToGrid w:val="0"/>
          <w:color w:val="auto"/>
          <w:kern w:val="0"/>
          <w:szCs w:val="21"/>
          <w:highlight w:val="none"/>
        </w:rPr>
        <w:t>批准建设，项目业主为</w:t>
      </w:r>
      <w:r>
        <w:rPr>
          <w:rFonts w:hint="eastAsia" w:ascii="宋体" w:hAnsi="宋体" w:cs="宋体"/>
          <w:color w:val="auto"/>
          <w:szCs w:val="21"/>
          <w:highlight w:val="none"/>
          <w:u w:val="single"/>
          <w:lang w:eastAsia="zh-CN"/>
        </w:rPr>
        <w:t>酉阳土家族苗族自治县实验中学校</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eastAsia="zh-CN"/>
        </w:rPr>
        <w:t>拟争取2023年义务教育薄弱环节改善与能力提升补助资金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100%</w:t>
      </w:r>
      <w:r>
        <w:rPr>
          <w:rFonts w:ascii="宋体" w:hAnsi="宋体"/>
          <w:snapToGrid w:val="0"/>
          <w:color w:val="auto"/>
          <w:kern w:val="0"/>
          <w:szCs w:val="21"/>
          <w:highlight w:val="none"/>
        </w:rPr>
        <w:t>，比选人</w:t>
      </w:r>
      <w:r>
        <w:rPr>
          <w:rFonts w:ascii="宋体" w:hAnsi="宋体"/>
          <w:snapToGrid w:val="0"/>
          <w:color w:val="auto"/>
          <w:kern w:val="0"/>
          <w:position w:val="-2"/>
          <w:szCs w:val="21"/>
          <w:highlight w:val="none"/>
        </w:rPr>
        <w:t>为</w:t>
      </w:r>
      <w:r>
        <w:rPr>
          <w:rFonts w:hint="eastAsia" w:ascii="宋体" w:hAnsi="宋体" w:cs="宋体"/>
          <w:color w:val="auto"/>
          <w:szCs w:val="21"/>
          <w:highlight w:val="none"/>
          <w:u w:val="single"/>
          <w:lang w:eastAsia="zh-CN"/>
        </w:rPr>
        <w:t>酉阳土家族苗族自治县实验中学校</w:t>
      </w:r>
      <w:r>
        <w:rPr>
          <w:rFonts w:ascii="宋体" w:hAnsi="宋体"/>
          <w:snapToGrid w:val="0"/>
          <w:color w:val="auto"/>
          <w:kern w:val="0"/>
          <w:position w:val="-2"/>
          <w:szCs w:val="21"/>
          <w:highlight w:val="none"/>
        </w:rPr>
        <w:t>。项目已具备比选条件，现对</w:t>
      </w:r>
      <w:r>
        <w:rPr>
          <w:rFonts w:hint="eastAsia" w:ascii="宋体" w:hAnsi="宋体"/>
          <w:snapToGrid w:val="0"/>
          <w:color w:val="auto"/>
          <w:kern w:val="0"/>
          <w:position w:val="-2"/>
          <w:szCs w:val="21"/>
          <w:highlight w:val="none"/>
          <w:u w:val="none"/>
        </w:rPr>
        <w:t>该项目的</w:t>
      </w:r>
      <w:r>
        <w:rPr>
          <w:rFonts w:hint="eastAsia" w:ascii="宋体" w:hAnsi="宋体"/>
          <w:snapToGrid w:val="0"/>
          <w:color w:val="auto"/>
          <w:kern w:val="0"/>
          <w:position w:val="-2"/>
          <w:szCs w:val="21"/>
          <w:highlight w:val="none"/>
          <w:u w:val="single"/>
        </w:rPr>
        <w:t>施工</w:t>
      </w:r>
      <w:r>
        <w:rPr>
          <w:rFonts w:ascii="宋体" w:hAnsi="宋体"/>
          <w:snapToGrid w:val="0"/>
          <w:color w:val="auto"/>
          <w:kern w:val="0"/>
          <w:position w:val="-2"/>
          <w:szCs w:val="21"/>
          <w:highlight w:val="none"/>
        </w:rPr>
        <w:t>进行公开比选。</w:t>
      </w:r>
    </w:p>
    <w:p>
      <w:pPr>
        <w:pStyle w:val="4"/>
        <w:spacing w:before="100" w:after="100" w:line="460" w:lineRule="exact"/>
        <w:rPr>
          <w:rFonts w:ascii="宋体" w:hAnsi="宋体"/>
          <w:snapToGrid w:val="0"/>
          <w:color w:val="auto"/>
          <w:sz w:val="28"/>
          <w:szCs w:val="28"/>
          <w:highlight w:val="none"/>
        </w:rPr>
      </w:pPr>
      <w:bookmarkStart w:id="31" w:name="_Toc430530417"/>
      <w:bookmarkStart w:id="32" w:name="_Toc4405"/>
      <w:bookmarkStart w:id="33" w:name="_Toc509218693"/>
      <w:bookmarkStart w:id="34" w:name="_Toc277082537"/>
      <w:bookmarkStart w:id="35" w:name="_Toc16344"/>
      <w:bookmarkStart w:id="36" w:name="_Toc287620668"/>
      <w:bookmarkStart w:id="37" w:name="_Toc224103300"/>
      <w:bookmarkStart w:id="38" w:name="_Toc200359239"/>
      <w:bookmarkStart w:id="39" w:name="_Toc200359428"/>
      <w:bookmarkStart w:id="40" w:name="_Toc287607729"/>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项目概况与比选范围</w:t>
      </w:r>
      <w:bookmarkEnd w:id="31"/>
      <w:bookmarkEnd w:id="32"/>
      <w:bookmarkEnd w:id="33"/>
      <w:bookmarkEnd w:id="34"/>
      <w:bookmarkEnd w:id="35"/>
      <w:bookmarkEnd w:id="36"/>
      <w:bookmarkEnd w:id="37"/>
      <w:bookmarkEnd w:id="38"/>
      <w:bookmarkEnd w:id="39"/>
      <w:bookmarkEnd w:id="40"/>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lang w:eastAsia="zh-CN"/>
        </w:rPr>
        <w:t>酉阳县实验中学校园内（桃花源街道凉风村1组）。</w:t>
      </w:r>
      <w:r>
        <w:rPr>
          <w:rFonts w:hint="eastAsia" w:ascii="宋体" w:hAnsi="宋体"/>
          <w:snapToGrid w:val="0"/>
          <w:color w:val="auto"/>
          <w:kern w:val="0"/>
          <w:szCs w:val="21"/>
          <w:highlight w:val="none"/>
        </w:rPr>
        <w:t xml:space="preserve">     </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lang w:val="en-US" w:eastAsia="zh-CN"/>
        </w:rPr>
        <w:t>1、拆除塑胶15902.90㎡，其中：跑道（13mm透气型塑胶）3502.10㎡，缓冲区、半圆区（8mmEPDM塑胶）4163.50㎡，足球场（50mm人造草坪）7832.20㎡，铅球场（50mm人造草坪）380.80㎡，沙坑场地（50mm人造草坪）24.30㎡；排水沟清淤（深0.4m）781.20m,排水沟换沟盖板220.00m；</w:t>
      </w:r>
    </w:p>
    <w:p>
      <w:pPr>
        <w:pStyle w:val="2"/>
        <w:keepNext w:val="0"/>
        <w:keepLines w:val="0"/>
        <w:pageBreakBefore w:val="0"/>
        <w:widowControl w:val="0"/>
        <w:kinsoku/>
        <w:wordWrap/>
        <w:overflowPunct/>
        <w:topLinePunct w:val="0"/>
        <w:bidi w:val="0"/>
        <w:spacing w:after="0" w:line="440" w:lineRule="exact"/>
        <w:textAlignment w:val="auto"/>
        <w:rPr>
          <w:rFonts w:hint="default"/>
          <w:color w:val="auto"/>
          <w:lang w:val="en-US" w:eastAsia="zh-CN"/>
        </w:rPr>
      </w:pPr>
      <w:r>
        <w:rPr>
          <w:rFonts w:hint="eastAsia" w:ascii="宋体" w:hAnsi="宋体"/>
          <w:snapToGrid w:val="0"/>
          <w:color w:val="auto"/>
          <w:kern w:val="0"/>
          <w:szCs w:val="21"/>
          <w:highlight w:val="none"/>
          <w:lang w:val="en-US" w:eastAsia="zh-CN"/>
        </w:rPr>
        <w:t>2、新建塑胶运动场15902.90㎡，其中：跑道（13mm透气型塑胶）3502.10㎡，缓冲区、半圆区（8mmEPDM塑胶）4163.50㎡，足球场（30mm免填充草坪）7832.20㎡，铅球场（30mm人造草坪）380.80㎡填补石英砂0.4m深，沙坑场地（30mm人造草坪）24.30㎡填补石英砂0.4m深；运动场内排水沟清淤781.20m，运动场内排水沟换沟盖板220.00m，基层石英砂+专业胶水找平修补750㎡等。</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2.3 计划工期：</w:t>
      </w:r>
      <w:r>
        <w:rPr>
          <w:rFonts w:hint="eastAsia" w:ascii="宋体" w:hAnsi="宋体"/>
          <w:snapToGrid w:val="0"/>
          <w:color w:val="auto"/>
          <w:kern w:val="0"/>
          <w:szCs w:val="21"/>
          <w:highlight w:val="none"/>
          <w:lang w:eastAsia="zh-CN"/>
        </w:rPr>
        <w:t>90日历天</w:t>
      </w:r>
      <w:r>
        <w:rPr>
          <w:rFonts w:hint="eastAsia" w:ascii="宋体" w:hAnsi="宋体"/>
          <w:snapToGrid w:val="0"/>
          <w:color w:val="auto"/>
          <w:kern w:val="0"/>
          <w:szCs w:val="21"/>
          <w:highlight w:val="none"/>
        </w:rPr>
        <w:t>；</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2.4 比选范围：</w:t>
      </w:r>
      <w:r>
        <w:rPr>
          <w:rFonts w:hint="eastAsia" w:ascii="宋体" w:hAnsi="宋体" w:cs="宋体"/>
          <w:color w:val="auto"/>
          <w:szCs w:val="21"/>
          <w:highlight w:val="none"/>
        </w:rPr>
        <w:t>比选人提供的施工设计图、施工图说明等所示范围的全部工程内容以及竞争性比选文件（含答疑、补遗）、工程量清单等所有内容，具体以比选人发布的工程量清单为准。</w:t>
      </w:r>
    </w:p>
    <w:p>
      <w:pPr>
        <w:pStyle w:val="4"/>
        <w:spacing w:before="100" w:after="100" w:line="460" w:lineRule="exact"/>
        <w:rPr>
          <w:rFonts w:ascii="宋体" w:hAnsi="宋体"/>
          <w:snapToGrid w:val="0"/>
          <w:color w:val="auto"/>
          <w:sz w:val="28"/>
          <w:szCs w:val="28"/>
          <w:highlight w:val="none"/>
        </w:rPr>
      </w:pPr>
      <w:bookmarkStart w:id="41" w:name="_Toc430530418"/>
      <w:bookmarkStart w:id="42" w:name="_Toc287620669"/>
      <w:bookmarkStart w:id="43" w:name="_Toc509218694"/>
      <w:bookmarkStart w:id="44" w:name="_Toc30983"/>
      <w:bookmarkStart w:id="45" w:name="_Toc200359429"/>
      <w:bookmarkStart w:id="46" w:name="_Toc287607730"/>
      <w:bookmarkStart w:id="47" w:name="_Toc19513"/>
      <w:bookmarkStart w:id="48" w:name="_Toc200359240"/>
      <w:bookmarkStart w:id="49" w:name="_Toc224103301"/>
      <w:bookmarkStart w:id="50" w:name="_Toc277082538"/>
      <w:r>
        <w:rPr>
          <w:rFonts w:ascii="宋体" w:hAnsi="宋体"/>
          <w:snapToGrid w:val="0"/>
          <w:color w:val="auto"/>
          <w:sz w:val="28"/>
          <w:szCs w:val="28"/>
          <w:highlight w:val="none"/>
        </w:rPr>
        <w:t>3. 比选申请人资格要求</w:t>
      </w:r>
      <w:bookmarkEnd w:id="41"/>
      <w:bookmarkEnd w:id="42"/>
      <w:bookmarkEnd w:id="43"/>
      <w:bookmarkEnd w:id="44"/>
      <w:bookmarkEnd w:id="45"/>
      <w:bookmarkEnd w:id="46"/>
      <w:bookmarkEnd w:id="47"/>
      <w:bookmarkEnd w:id="48"/>
      <w:bookmarkEnd w:id="49"/>
      <w:bookmarkEnd w:id="50"/>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本次比选要求比选申请人须具备</w:t>
      </w:r>
      <w:r>
        <w:rPr>
          <w:rFonts w:hint="eastAsia" w:ascii="宋体" w:hAnsi="宋体"/>
          <w:snapToGrid w:val="0"/>
          <w:color w:val="auto"/>
          <w:kern w:val="0"/>
          <w:szCs w:val="21"/>
          <w:highlight w:val="none"/>
        </w:rPr>
        <w:t>以下条件：</w:t>
      </w:r>
    </w:p>
    <w:p>
      <w:pPr>
        <w:pStyle w:val="41"/>
        <w:keepNext w:val="0"/>
        <w:keepLines w:val="0"/>
        <w:pageBreakBefore w:val="0"/>
        <w:widowControl/>
        <w:suppressLineNumbers w:val="0"/>
        <w:kinsoku/>
        <w:wordWrap/>
        <w:overflowPunct/>
        <w:topLinePunct w:val="0"/>
        <w:bidi w:val="0"/>
        <w:spacing w:before="0" w:beforeAutospacing="0" w:after="0" w:afterAutospacing="0" w:line="440" w:lineRule="exact"/>
        <w:ind w:left="0" w:right="0" w:firstLine="420"/>
        <w:jc w:val="left"/>
        <w:textAlignment w:val="auto"/>
        <w:rPr>
          <w:rFonts w:hint="eastAsia" w:ascii="宋体" w:hAnsi="宋体" w:eastAsia="宋体" w:cs="Times New Roman"/>
          <w:snapToGrid w:val="0"/>
          <w:color w:val="auto"/>
          <w:kern w:val="0"/>
          <w:sz w:val="21"/>
          <w:szCs w:val="21"/>
          <w:highlight w:val="none"/>
          <w:lang w:val="en-US" w:eastAsia="zh-CN" w:bidi="ar-SA"/>
        </w:rPr>
      </w:pPr>
      <w:r>
        <w:rPr>
          <w:rFonts w:hint="eastAsia" w:ascii="宋体" w:hAnsi="宋体" w:eastAsia="宋体" w:cs="Times New Roman"/>
          <w:snapToGrid w:val="0"/>
          <w:color w:val="auto"/>
          <w:kern w:val="0"/>
          <w:sz w:val="21"/>
          <w:szCs w:val="21"/>
          <w:highlight w:val="none"/>
          <w:lang w:val="en-US" w:eastAsia="zh-CN" w:bidi="ar-SA"/>
        </w:rPr>
        <w:t>3.1.1 本次比选要求比选申请人具备的资质条件：比选申请人须具备建设行政主管部门颁发的</w:t>
      </w:r>
      <w:r>
        <w:rPr>
          <w:rFonts w:hint="eastAsia" w:cs="Times New Roman"/>
          <w:snapToGrid w:val="0"/>
          <w:color w:val="auto"/>
          <w:kern w:val="0"/>
          <w:sz w:val="21"/>
          <w:szCs w:val="21"/>
          <w:highlight w:val="none"/>
          <w:lang w:val="en-US" w:eastAsia="zh-CN" w:bidi="ar-SA"/>
        </w:rPr>
        <w:t>有效的</w:t>
      </w:r>
      <w:r>
        <w:rPr>
          <w:rFonts w:hint="eastAsia" w:ascii="宋体" w:hAnsi="宋体" w:eastAsia="宋体" w:cs="Times New Roman"/>
          <w:snapToGrid w:val="0"/>
          <w:color w:val="auto"/>
          <w:kern w:val="0"/>
          <w:sz w:val="21"/>
          <w:szCs w:val="21"/>
          <w:highlight w:val="none"/>
          <w:lang w:val="en-US" w:eastAsia="zh-CN" w:bidi="ar-SA"/>
        </w:rPr>
        <w:t>建筑工程施工总承包叁级及以上资质或市政公用工程施工总承包叁级及以上资质；</w:t>
      </w:r>
    </w:p>
    <w:p>
      <w:pPr>
        <w:keepNext w:val="0"/>
        <w:keepLines w:val="0"/>
        <w:pageBreakBefore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snapToGrid w:val="0"/>
          <w:color w:val="auto"/>
          <w:kern w:val="0"/>
          <w:szCs w:val="21"/>
          <w:highlight w:val="none"/>
        </w:rPr>
        <w:t>3.1.2 比选申请人还应在人员、设备、资金等方面具有相应的施工能力，详见竞争性比选文件第二章比选申请人须知前附表第1.4.1项内容。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本次比选</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pPr>
        <w:pStyle w:val="4"/>
        <w:spacing w:before="100" w:after="100" w:line="460" w:lineRule="exact"/>
        <w:rPr>
          <w:rFonts w:ascii="宋体" w:hAnsi="宋体"/>
          <w:snapToGrid w:val="0"/>
          <w:color w:val="auto"/>
          <w:sz w:val="28"/>
          <w:szCs w:val="28"/>
          <w:highlight w:val="none"/>
        </w:rPr>
      </w:pPr>
      <w:bookmarkStart w:id="51" w:name="_Toc509218695"/>
      <w:bookmarkStart w:id="52" w:name="_Toc5792"/>
      <w:bookmarkStart w:id="53" w:name="_Toc200359430"/>
      <w:bookmarkStart w:id="54" w:name="_Toc224103302"/>
      <w:bookmarkStart w:id="55" w:name="_Toc430530419"/>
      <w:bookmarkStart w:id="56" w:name="_Toc287620670"/>
      <w:bookmarkStart w:id="57" w:name="_Toc277082539"/>
      <w:bookmarkStart w:id="58" w:name="_Toc200359241"/>
      <w:bookmarkStart w:id="59" w:name="_Toc287607731"/>
      <w:bookmarkStart w:id="60" w:name="_Toc10508"/>
      <w:r>
        <w:rPr>
          <w:rFonts w:ascii="宋体" w:hAnsi="宋体"/>
          <w:snapToGrid w:val="0"/>
          <w:color w:val="auto"/>
          <w:sz w:val="28"/>
          <w:szCs w:val="28"/>
          <w:highlight w:val="none"/>
        </w:rPr>
        <w:t>4. 竞争性比选文件的获取</w:t>
      </w:r>
      <w:bookmarkEnd w:id="51"/>
      <w:bookmarkEnd w:id="52"/>
      <w:bookmarkEnd w:id="53"/>
      <w:bookmarkEnd w:id="54"/>
      <w:bookmarkEnd w:id="55"/>
      <w:bookmarkEnd w:id="56"/>
      <w:bookmarkEnd w:id="57"/>
      <w:bookmarkEnd w:id="58"/>
      <w:bookmarkEnd w:id="59"/>
      <w:bookmarkEnd w:id="60"/>
    </w:p>
    <w:p>
      <w:pPr>
        <w:spacing w:line="400" w:lineRule="exact"/>
        <w:ind w:firstLine="420" w:firstLineChars="200"/>
        <w:rPr>
          <w:rFonts w:ascii="宋体" w:hAnsi="宋体" w:cs="宋体"/>
          <w:color w:val="auto"/>
          <w:szCs w:val="21"/>
          <w:highlight w:val="none"/>
        </w:rPr>
      </w:pPr>
      <w:bookmarkStart w:id="61" w:name="_Toc28449"/>
      <w:bookmarkStart w:id="62" w:name="_Toc200359242"/>
      <w:bookmarkStart w:id="63" w:name="_Toc277082540"/>
      <w:bookmarkStart w:id="64" w:name="_Toc430530420"/>
      <w:bookmarkStart w:id="65" w:name="_Toc200359431"/>
      <w:bookmarkStart w:id="66" w:name="_Toc509218696"/>
      <w:bookmarkStart w:id="67" w:name="_Toc287620671"/>
      <w:bookmarkStart w:id="68" w:name="_Toc287607732"/>
      <w:bookmarkStart w:id="69" w:name="_Toc224103303"/>
      <w:r>
        <w:rPr>
          <w:rFonts w:hint="eastAsia" w:ascii="宋体" w:hAnsi="宋体" w:cs="宋体"/>
          <w:color w:val="auto"/>
          <w:szCs w:val="21"/>
          <w:highlight w:val="none"/>
        </w:rPr>
        <w:t>4.1凡有意参加竞争性比选者，请于</w:t>
      </w:r>
      <w:r>
        <w:rPr>
          <w:rFonts w:hint="eastAsia" w:ascii="宋体" w:hAnsi="宋体" w:cs="宋体"/>
          <w:color w:val="auto"/>
          <w:szCs w:val="21"/>
          <w:highlight w:val="none"/>
          <w:u w:val="single"/>
        </w:rPr>
        <w:t>2023</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9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19 </w:t>
      </w:r>
      <w:r>
        <w:rPr>
          <w:rFonts w:hint="eastAsia" w:ascii="宋体" w:hAnsi="宋体" w:cs="宋体"/>
          <w:color w:val="auto"/>
          <w:szCs w:val="21"/>
          <w:highlight w:val="none"/>
        </w:rPr>
        <w:t>日09：00时起，（北京时间，下同），在重庆市公共资源交易网（酉阳县）（https://www.cqggzy.com/youyangweb/）上仔细阅读和下载：竞争性比选文件、图纸、工程量清单、澄清、修改、补充通知、比选控制价通知等全部内容，不管下载与否都视为潜在比选申请人全部知晓有关比选过程和全部内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4.2比选申请人如对竞争性比选文件有质疑，必须在重庆市公共资源交易网（酉阳县）（https://www.cqggzy.com/youyangweb/）上指定质疑答疑区在规定质疑期内匿名质疑，提出质疑时间应在</w:t>
      </w:r>
      <w:r>
        <w:rPr>
          <w:rFonts w:hint="eastAsia" w:ascii="宋体" w:hAnsi="宋体" w:cs="宋体"/>
          <w:color w:val="auto"/>
          <w:szCs w:val="21"/>
          <w:highlight w:val="none"/>
          <w:u w:val="single"/>
        </w:rPr>
        <w:t>2023</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9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22  </w:t>
      </w:r>
      <w:r>
        <w:rPr>
          <w:rFonts w:hint="eastAsia" w:ascii="宋体" w:hAnsi="宋体" w:cs="宋体"/>
          <w:color w:val="auto"/>
          <w:szCs w:val="21"/>
          <w:highlight w:val="none"/>
        </w:rPr>
        <w:t>日1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:00时前（北京时间），过期不再受理质疑。</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4.3本竞争性比选公告开始发布至比选申请截止时间止，各比选申请人应随时关注重庆市公共资源交易网（酉阳县）（https://www.cqggzy.com/youyangweb/）上关于本竞争性比选项目相关修改或补充内容。</w:t>
      </w:r>
    </w:p>
    <w:p>
      <w:pPr>
        <w:pStyle w:val="4"/>
        <w:spacing w:before="100" w:after="100" w:line="460" w:lineRule="exact"/>
        <w:rPr>
          <w:rFonts w:ascii="宋体" w:hAnsi="宋体"/>
          <w:snapToGrid w:val="0"/>
          <w:color w:val="auto"/>
          <w:sz w:val="28"/>
          <w:szCs w:val="28"/>
          <w:highlight w:val="none"/>
        </w:rPr>
      </w:pPr>
      <w:bookmarkStart w:id="70" w:name="_Toc1626"/>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比选申请文件</w:t>
      </w:r>
      <w:r>
        <w:rPr>
          <w:rFonts w:ascii="宋体" w:hAnsi="宋体"/>
          <w:snapToGrid w:val="0"/>
          <w:color w:val="auto"/>
          <w:sz w:val="28"/>
          <w:szCs w:val="28"/>
          <w:highlight w:val="none"/>
        </w:rPr>
        <w:t>的递交</w:t>
      </w:r>
      <w:bookmarkEnd w:id="61"/>
      <w:bookmarkEnd w:id="62"/>
      <w:bookmarkEnd w:id="63"/>
      <w:bookmarkEnd w:id="64"/>
      <w:bookmarkEnd w:id="65"/>
      <w:bookmarkEnd w:id="66"/>
      <w:bookmarkEnd w:id="67"/>
      <w:bookmarkEnd w:id="68"/>
      <w:bookmarkEnd w:id="69"/>
      <w:bookmarkEnd w:id="70"/>
    </w:p>
    <w:p>
      <w:pPr>
        <w:spacing w:line="400" w:lineRule="exact"/>
        <w:ind w:firstLine="420" w:firstLineChars="200"/>
        <w:rPr>
          <w:rFonts w:ascii="宋体" w:hAnsi="宋体" w:cs="宋体"/>
          <w:color w:val="auto"/>
          <w:szCs w:val="21"/>
          <w:highlight w:val="none"/>
        </w:rPr>
      </w:pPr>
      <w:bookmarkStart w:id="71" w:name="_Toc430530421"/>
      <w:bookmarkStart w:id="72" w:name="_Toc200359243"/>
      <w:bookmarkStart w:id="73" w:name="_Toc8166"/>
      <w:bookmarkStart w:id="74" w:name="_Toc287620672"/>
      <w:bookmarkStart w:id="75" w:name="_Toc277082541"/>
      <w:bookmarkStart w:id="76" w:name="_Toc287607733"/>
      <w:bookmarkStart w:id="77" w:name="_Toc509218697"/>
      <w:bookmarkStart w:id="78" w:name="_Toc224103304"/>
      <w:bookmarkStart w:id="79" w:name="_Toc200359432"/>
      <w:r>
        <w:rPr>
          <w:rFonts w:hint="eastAsia" w:ascii="宋体" w:hAnsi="宋体" w:cs="宋体"/>
          <w:color w:val="auto"/>
          <w:szCs w:val="21"/>
          <w:highlight w:val="none"/>
        </w:rPr>
        <w:t>5.1递交比选申请文件截止时间为</w:t>
      </w:r>
      <w:r>
        <w:rPr>
          <w:rFonts w:hint="eastAsia" w:ascii="宋体" w:hAnsi="宋体" w:cs="宋体"/>
          <w:color w:val="auto"/>
          <w:szCs w:val="21"/>
          <w:highlight w:val="none"/>
          <w:u w:val="single"/>
        </w:rPr>
        <w:t>2023</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9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27  </w:t>
      </w:r>
      <w:r>
        <w:rPr>
          <w:rFonts w:hint="eastAsia" w:ascii="宋体" w:hAnsi="宋体" w:cs="宋体"/>
          <w:color w:val="auto"/>
          <w:szCs w:val="21"/>
          <w:highlight w:val="none"/>
        </w:rPr>
        <w:t>日10时00分，地点为</w:t>
      </w:r>
      <w:r>
        <w:rPr>
          <w:rFonts w:hint="eastAsia" w:ascii="宋体" w:hAnsi="宋体" w:cs="宋体"/>
          <w:color w:val="auto"/>
          <w:szCs w:val="21"/>
          <w:highlight w:val="none"/>
          <w:lang w:eastAsia="zh-CN"/>
        </w:rPr>
        <w:t>重庆市公共资源交易中心酉阳分中心</w:t>
      </w:r>
      <w:r>
        <w:rPr>
          <w:rFonts w:hint="eastAsia" w:ascii="宋体" w:hAnsi="宋体" w:cs="宋体"/>
          <w:color w:val="auto"/>
          <w:szCs w:val="21"/>
          <w:highlight w:val="none"/>
        </w:rPr>
        <w:t>开标室（具体请登陆重庆市公共资源交易网（酉阳县）（https://www.cqggzy.com/youyangweb/）查询。</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 逾期送达或者未送达指定地点的比选申请文件，比选人不予受理。</w:t>
      </w:r>
    </w:p>
    <w:p>
      <w:pPr>
        <w:pStyle w:val="4"/>
        <w:spacing w:before="100" w:after="100" w:line="460" w:lineRule="exact"/>
        <w:rPr>
          <w:rFonts w:ascii="宋体" w:hAnsi="宋体"/>
          <w:snapToGrid w:val="0"/>
          <w:color w:val="auto"/>
          <w:sz w:val="28"/>
          <w:szCs w:val="28"/>
          <w:highlight w:val="none"/>
        </w:rPr>
      </w:pPr>
      <w:bookmarkStart w:id="80" w:name="_Toc18059"/>
      <w:r>
        <w:rPr>
          <w:rFonts w:ascii="宋体" w:hAnsi="宋体"/>
          <w:snapToGrid w:val="0"/>
          <w:color w:val="auto"/>
          <w:sz w:val="28"/>
          <w:szCs w:val="28"/>
          <w:highlight w:val="none"/>
        </w:rPr>
        <w:t>6. 发布公告的媒介</w:t>
      </w:r>
      <w:bookmarkEnd w:id="71"/>
      <w:bookmarkEnd w:id="72"/>
      <w:bookmarkEnd w:id="73"/>
      <w:bookmarkEnd w:id="74"/>
      <w:bookmarkEnd w:id="75"/>
      <w:bookmarkEnd w:id="76"/>
      <w:bookmarkEnd w:id="77"/>
      <w:bookmarkEnd w:id="78"/>
      <w:bookmarkEnd w:id="79"/>
      <w:bookmarkEnd w:id="80"/>
    </w:p>
    <w:p>
      <w:pPr>
        <w:spacing w:line="400" w:lineRule="exact"/>
        <w:ind w:firstLine="420" w:firstLineChars="200"/>
        <w:rPr>
          <w:rFonts w:ascii="宋体" w:hAnsi="宋体" w:cs="宋体"/>
          <w:color w:val="auto"/>
          <w:szCs w:val="21"/>
          <w:highlight w:val="none"/>
        </w:rPr>
      </w:pPr>
      <w:bookmarkStart w:id="81" w:name="_Toc31352"/>
      <w:bookmarkStart w:id="82" w:name="_Toc14240"/>
      <w:bookmarkStart w:id="83" w:name="_Toc287620673"/>
      <w:bookmarkStart w:id="84" w:name="_Toc430530422"/>
      <w:bookmarkStart w:id="85" w:name="_Toc224103305"/>
      <w:bookmarkStart w:id="86" w:name="_Toc287607734"/>
      <w:bookmarkStart w:id="87" w:name="_Toc277082542"/>
      <w:bookmarkStart w:id="88" w:name="_Toc509218698"/>
      <w:r>
        <w:rPr>
          <w:rFonts w:hint="eastAsia" w:ascii="宋体" w:hAnsi="宋体" w:cs="宋体"/>
          <w:color w:val="auto"/>
          <w:szCs w:val="21"/>
          <w:highlight w:val="none"/>
        </w:rPr>
        <w:t>本次比选公告在重庆市公共资源交易网（酉阳县）（https://https://www.cqggzy.com/youyangweb/）上发布。</w:t>
      </w:r>
    </w:p>
    <w:p>
      <w:pPr>
        <w:pStyle w:val="4"/>
        <w:spacing w:before="100" w:after="100" w:line="460" w:lineRule="exact"/>
        <w:rPr>
          <w:rFonts w:ascii="宋体" w:hAnsi="宋体"/>
          <w:snapToGrid w:val="0"/>
          <w:color w:val="auto"/>
          <w:sz w:val="28"/>
          <w:szCs w:val="28"/>
          <w:highlight w:val="none"/>
        </w:rPr>
      </w:pPr>
      <w:bookmarkStart w:id="89" w:name="_Toc23819"/>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bookmarkEnd w:id="81"/>
      <w:bookmarkEnd w:id="82"/>
      <w:bookmarkStart w:id="90" w:name="_Toc589"/>
      <w:r>
        <w:rPr>
          <w:rFonts w:ascii="宋体" w:hAnsi="宋体"/>
          <w:snapToGrid w:val="0"/>
          <w:color w:val="auto"/>
          <w:sz w:val="28"/>
          <w:szCs w:val="28"/>
          <w:highlight w:val="none"/>
        </w:rPr>
        <w:t>联系方式</w:t>
      </w:r>
      <w:bookmarkEnd w:id="83"/>
      <w:bookmarkEnd w:id="84"/>
      <w:bookmarkEnd w:id="85"/>
      <w:bookmarkEnd w:id="86"/>
      <w:bookmarkEnd w:id="87"/>
      <w:bookmarkEnd w:id="88"/>
      <w:bookmarkEnd w:id="89"/>
      <w:bookmarkEnd w:id="90"/>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比选人：</w:t>
      </w:r>
      <w:r>
        <w:rPr>
          <w:rFonts w:hint="eastAsia" w:ascii="宋体" w:hAnsi="宋体" w:cs="宋体"/>
          <w:color w:val="auto"/>
          <w:szCs w:val="21"/>
          <w:highlight w:val="none"/>
          <w:lang w:eastAsia="zh-CN"/>
        </w:rPr>
        <w:t>酉阳土家族苗族自治县实验中学校</w:t>
      </w:r>
      <w:r>
        <w:rPr>
          <w:rFonts w:hint="eastAsia"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酉阳县钟多镇凉风村一组</w:t>
      </w:r>
      <w:r>
        <w:rPr>
          <w:rFonts w:hint="eastAsia" w:ascii="宋体" w:hAnsi="宋体" w:cs="宋体"/>
          <w:color w:val="auto"/>
          <w:szCs w:val="21"/>
          <w:highlight w:val="none"/>
        </w:rPr>
        <w:t xml:space="preserve">   </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刘老师</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lang w:eastAsia="zh-CN"/>
        </w:rPr>
        <w:t>13709484305</w:t>
      </w:r>
      <w:r>
        <w:rPr>
          <w:rFonts w:hint="eastAsia"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比选代理机构：</w:t>
      </w:r>
      <w:r>
        <w:rPr>
          <w:rFonts w:hint="eastAsia" w:ascii="宋体" w:hAnsi="宋体" w:cs="宋体"/>
          <w:color w:val="auto"/>
          <w:szCs w:val="21"/>
          <w:highlight w:val="none"/>
          <w:lang w:eastAsia="zh-CN"/>
        </w:rPr>
        <w:t>重庆炘盛工程项目管理有限公司</w:t>
      </w:r>
      <w:r>
        <w:rPr>
          <w:rFonts w:ascii="宋体" w:hAnsi="宋体" w:cs="宋体"/>
          <w:color w:val="auto"/>
          <w:szCs w:val="21"/>
          <w:highlight w:val="none"/>
        </w:rPr>
        <w:tab/>
      </w:r>
      <w:r>
        <w:rPr>
          <w:rFonts w:ascii="宋体" w:hAnsi="宋体" w:cs="宋体"/>
          <w:color w:val="auto"/>
          <w:szCs w:val="21"/>
          <w:highlight w:val="none"/>
        </w:rPr>
        <w:t xml:space="preserve">   </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酉阳土家族苗族自治县龙潭镇赵庄街社区五组</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冉老师</w:t>
      </w:r>
    </w:p>
    <w:p>
      <w:pPr>
        <w:snapToGrid w:val="0"/>
        <w:spacing w:line="400" w:lineRule="exact"/>
        <w:ind w:firstLine="420" w:firstLineChars="200"/>
        <w:rPr>
          <w:rFonts w:hint="eastAsia" w:ascii="宋体" w:hAnsi="宋体" w:eastAsia="宋体" w:cs="宋体"/>
          <w:color w:val="auto"/>
          <w:sz w:val="24"/>
          <w:highlight w:val="none"/>
          <w:lang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eastAsia="zh-CN"/>
        </w:rPr>
        <w:t xml:space="preserve">13311100362 </w:t>
      </w:r>
    </w:p>
    <w:p>
      <w:pPr>
        <w:spacing w:line="400" w:lineRule="exact"/>
        <w:ind w:firstLine="420" w:firstLineChars="200"/>
        <w:rPr>
          <w:rFonts w:ascii="宋体" w:hAnsi="宋体" w:cs="宋体"/>
          <w:color w:val="auto"/>
          <w:szCs w:val="21"/>
          <w:highlight w:val="none"/>
        </w:rPr>
      </w:pPr>
    </w:p>
    <w:p>
      <w:pPr>
        <w:pStyle w:val="3"/>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91" w:name="_Toc287620674"/>
      <w:bookmarkStart w:id="92" w:name="_Toc224103306"/>
      <w:bookmarkStart w:id="93" w:name="_Toc287607735"/>
      <w:bookmarkStart w:id="94" w:name="_Toc430530423"/>
    </w:p>
    <w:bookmarkEnd w:id="91"/>
    <w:bookmarkEnd w:id="92"/>
    <w:bookmarkEnd w:id="93"/>
    <w:bookmarkEnd w:id="94"/>
    <w:p>
      <w:pPr>
        <w:pStyle w:val="3"/>
        <w:spacing w:line="360" w:lineRule="auto"/>
        <w:jc w:val="center"/>
        <w:rPr>
          <w:rFonts w:ascii="宋体" w:hAnsi="宋体"/>
          <w:bCs w:val="0"/>
          <w:snapToGrid w:val="0"/>
          <w:color w:val="auto"/>
          <w:kern w:val="0"/>
          <w:highlight w:val="none"/>
        </w:rPr>
      </w:pPr>
      <w:bookmarkStart w:id="95" w:name="_Toc17607"/>
      <w:bookmarkStart w:id="96" w:name="_Toc430530432"/>
      <w:bookmarkStart w:id="97" w:name="_Toc287607744"/>
      <w:bookmarkStart w:id="98" w:name="_Toc224103315"/>
      <w:bookmarkStart w:id="99" w:name="_Toc287620683"/>
      <w:bookmarkStart w:id="100" w:name="_Toc32148"/>
      <w:r>
        <w:rPr>
          <w:rFonts w:ascii="宋体" w:hAnsi="宋体"/>
          <w:snapToGrid w:val="0"/>
          <w:color w:val="auto"/>
          <w:kern w:val="0"/>
          <w:highlight w:val="none"/>
        </w:rPr>
        <w:t>第二章  比选申请人须知</w:t>
      </w:r>
      <w:bookmarkEnd w:id="95"/>
      <w:bookmarkEnd w:id="96"/>
      <w:bookmarkEnd w:id="97"/>
      <w:bookmarkEnd w:id="98"/>
      <w:bookmarkEnd w:id="99"/>
      <w:bookmarkEnd w:id="100"/>
      <w:bookmarkStart w:id="101" w:name="_Toc277082551"/>
      <w:bookmarkStart w:id="102" w:name="_Toc430530433"/>
      <w:bookmarkStart w:id="103" w:name="_Toc224103316"/>
      <w:bookmarkStart w:id="104" w:name="_Toc287607745"/>
      <w:bookmarkStart w:id="105" w:name="_Toc287620684"/>
    </w:p>
    <w:p>
      <w:pPr>
        <w:pStyle w:val="4"/>
        <w:spacing w:before="100" w:after="100" w:line="360" w:lineRule="auto"/>
        <w:rPr>
          <w:rFonts w:ascii="宋体" w:hAnsi="宋体"/>
          <w:color w:val="auto"/>
          <w:highlight w:val="none"/>
        </w:rPr>
      </w:pPr>
      <w:bookmarkStart w:id="106" w:name="_Toc8005"/>
      <w:bookmarkStart w:id="107" w:name="_Toc509218708"/>
      <w:bookmarkStart w:id="108" w:name="_Toc14990"/>
      <w:r>
        <w:rPr>
          <w:rFonts w:hint="eastAsia" w:ascii="宋体" w:hAnsi="宋体"/>
          <w:color w:val="auto"/>
          <w:highlight w:val="none"/>
        </w:rPr>
        <w:t>比选申请人须知前附表</w:t>
      </w:r>
      <w:bookmarkEnd w:id="101"/>
      <w:bookmarkEnd w:id="102"/>
      <w:bookmarkEnd w:id="103"/>
      <w:bookmarkEnd w:id="104"/>
      <w:bookmarkEnd w:id="105"/>
      <w:bookmarkEnd w:id="106"/>
      <w:bookmarkEnd w:id="107"/>
      <w:bookmarkEnd w:id="108"/>
    </w:p>
    <w:p>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正文内容不允许修改。若比选申请人须知前附表与正文不一致的地方，以比选申请人须知前附表为准。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比选人</w:t>
            </w:r>
          </w:p>
        </w:tc>
        <w:tc>
          <w:tcPr>
            <w:tcW w:w="6490" w:type="dxa"/>
            <w:vAlign w:val="center"/>
          </w:tcPr>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s="宋体"/>
                <w:color w:val="auto"/>
                <w:szCs w:val="21"/>
                <w:highlight w:val="none"/>
                <w:lang w:eastAsia="zh-CN"/>
              </w:rPr>
              <w:t>酉阳土家族苗族自治县实验中学校</w:t>
            </w:r>
            <w:r>
              <w:rPr>
                <w:rFonts w:hint="eastAsia" w:ascii="宋体" w:hAnsi="宋体" w:cs="宋体"/>
                <w:color w:val="auto"/>
                <w:szCs w:val="21"/>
                <w:highlight w:val="none"/>
              </w:rPr>
              <w:t xml:space="preserve"> </w:t>
            </w:r>
          </w:p>
          <w:p>
            <w:pPr>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color w:val="auto"/>
                <w:szCs w:val="21"/>
                <w:highlight w:val="none"/>
                <w:lang w:eastAsia="zh-CN"/>
              </w:rPr>
              <w:t>酉阳县钟多镇凉风村一组</w:t>
            </w:r>
            <w:r>
              <w:rPr>
                <w:rFonts w:hint="eastAsia" w:ascii="宋体" w:hAnsi="宋体" w:cs="宋体"/>
                <w:color w:val="auto"/>
                <w:szCs w:val="21"/>
                <w:highlight w:val="none"/>
              </w:rPr>
              <w:t xml:space="preserve">  </w:t>
            </w:r>
          </w:p>
          <w:p>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联系人：</w:t>
            </w:r>
            <w:r>
              <w:rPr>
                <w:rFonts w:hint="eastAsia" w:ascii="宋体" w:hAnsi="宋体" w:cs="宋体"/>
                <w:color w:val="auto"/>
                <w:szCs w:val="21"/>
                <w:highlight w:val="none"/>
                <w:lang w:eastAsia="zh-CN"/>
              </w:rPr>
              <w:t>刘老师</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s="宋体"/>
                <w:color w:val="auto"/>
                <w:szCs w:val="21"/>
                <w:highlight w:val="none"/>
                <w:lang w:eastAsia="zh-CN"/>
              </w:rPr>
              <w:t>13709484305</w:t>
            </w:r>
            <w:r>
              <w:rPr>
                <w:rFonts w:hint="eastAsia" w:ascii="宋体" w:hAnsi="宋体" w:cs="宋体"/>
                <w:color w:val="auto"/>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比选代理机构</w:t>
            </w:r>
          </w:p>
        </w:tc>
        <w:tc>
          <w:tcPr>
            <w:tcW w:w="6490" w:type="dxa"/>
            <w:vAlign w:val="center"/>
          </w:tcPr>
          <w:p>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名称：</w:t>
            </w:r>
            <w:r>
              <w:rPr>
                <w:rFonts w:hint="eastAsia" w:ascii="宋体" w:hAnsi="宋体" w:cs="宋体"/>
                <w:color w:val="auto"/>
                <w:szCs w:val="21"/>
                <w:highlight w:val="none"/>
                <w:lang w:eastAsia="zh-CN"/>
              </w:rPr>
              <w:t>重庆炘盛工程项目管理有限公司</w:t>
            </w:r>
          </w:p>
          <w:p>
            <w:pPr>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地址：</w:t>
            </w:r>
            <w:r>
              <w:rPr>
                <w:rFonts w:hint="eastAsia" w:ascii="宋体" w:hAnsi="宋体" w:cs="宋体"/>
                <w:color w:val="auto"/>
                <w:szCs w:val="21"/>
                <w:highlight w:val="none"/>
                <w:lang w:eastAsia="zh-CN"/>
              </w:rPr>
              <w:t>酉阳土家族苗族自治县龙潭镇赵庄街社区五组</w:t>
            </w:r>
          </w:p>
          <w:p>
            <w:pPr>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联系人</w:t>
            </w:r>
            <w:r>
              <w:rPr>
                <w:rFonts w:hint="eastAsia" w:ascii="宋体" w:hAnsi="宋体"/>
                <w:color w:val="auto"/>
                <w:kern w:val="0"/>
                <w:szCs w:val="21"/>
                <w:highlight w:val="none"/>
              </w:rPr>
              <w:t>：</w:t>
            </w:r>
            <w:r>
              <w:rPr>
                <w:rFonts w:hint="eastAsia" w:ascii="宋体" w:hAnsi="宋体" w:cs="宋体"/>
                <w:color w:val="auto"/>
                <w:szCs w:val="21"/>
                <w:highlight w:val="none"/>
                <w:lang w:val="en-US" w:eastAsia="zh-CN"/>
              </w:rPr>
              <w:t>冉老师</w:t>
            </w:r>
          </w:p>
          <w:p>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电话：</w:t>
            </w:r>
            <w:r>
              <w:rPr>
                <w:rFonts w:hint="eastAsia" w:ascii="宋体" w:hAnsi="宋体" w:cs="宋体"/>
                <w:color w:val="auto"/>
                <w:szCs w:val="21"/>
                <w:highlight w:val="none"/>
                <w:lang w:eastAsia="zh-CN"/>
              </w:rPr>
              <w:t xml:space="preserve">13311100362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kern w:val="0"/>
                <w:szCs w:val="21"/>
                <w:highlight w:val="none"/>
                <w:lang w:eastAsia="zh-CN"/>
              </w:rPr>
              <w:t>酉阳县实验中学校塑胶运动场维修改造项目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pPr>
              <w:snapToGrid w:val="0"/>
              <w:spacing w:line="400" w:lineRule="exact"/>
              <w:jc w:val="left"/>
              <w:rPr>
                <w:rFonts w:ascii="宋体" w:hAnsi="宋体"/>
                <w:color w:val="auto"/>
                <w:szCs w:val="21"/>
                <w:highlight w:val="none"/>
              </w:rPr>
            </w:pPr>
            <w:r>
              <w:rPr>
                <w:rFonts w:hint="eastAsia" w:ascii="宋体" w:hAnsi="宋体"/>
                <w:color w:val="auto"/>
                <w:kern w:val="0"/>
                <w:szCs w:val="21"/>
                <w:highlight w:val="none"/>
                <w:lang w:eastAsia="zh-CN"/>
              </w:rPr>
              <w:t>酉阳县实验中学校园内（桃花源街道凉风村1组）。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keepNext w:val="0"/>
              <w:keepLines w:val="0"/>
              <w:pageBreakBefore w:val="0"/>
              <w:widowControl w:val="0"/>
              <w:kinsoku/>
              <w:wordWrap/>
              <w:overflowPunct/>
              <w:topLinePunct w:val="0"/>
              <w:bidi w:val="0"/>
              <w:snapToGrid w:val="0"/>
              <w:spacing w:line="360" w:lineRule="exact"/>
              <w:jc w:val="center"/>
              <w:textAlignment w:val="auto"/>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pPr>
              <w:keepNext w:val="0"/>
              <w:keepLines w:val="0"/>
              <w:pageBreakBefore w:val="0"/>
              <w:widowControl w:val="0"/>
              <w:kinsoku/>
              <w:wordWrap/>
              <w:overflowPunct/>
              <w:topLinePunct w:val="0"/>
              <w:bidi w:val="0"/>
              <w:snapToGrid w:val="0"/>
              <w:spacing w:line="360" w:lineRule="exact"/>
              <w:jc w:val="center"/>
              <w:textAlignment w:val="auto"/>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ascii="宋体" w:hAnsi="宋体"/>
                <w:i/>
                <w:snapToGrid w:val="0"/>
                <w:color w:val="auto"/>
                <w:kern w:val="0"/>
                <w:szCs w:val="21"/>
                <w:highlight w:val="none"/>
              </w:rPr>
            </w:pPr>
            <w:r>
              <w:rPr>
                <w:rFonts w:hint="eastAsia" w:ascii="宋体" w:hAnsi="宋体"/>
                <w:snapToGrid w:val="0"/>
                <w:color w:val="auto"/>
                <w:kern w:val="0"/>
                <w:szCs w:val="21"/>
                <w:highlight w:val="none"/>
                <w:lang w:val="en-US" w:eastAsia="zh-CN"/>
              </w:rPr>
              <w:t>1、拆除塑胶15902.90㎡，其中：跑道（13mm透气型塑胶）3502.10㎡，缓冲区、半圆区（8mmEPDM塑胶）4163.50㎡，足球场（50mm人造草坪）7832.20㎡，铅球场（50mm人造草坪）380.80㎡，沙坑场地（50mm人造草坪）24.30㎡；排水沟清淤（深0.4m）781.20m,排水沟换沟盖板220.00m；2、新建塑胶运动场15902.90㎡，其中：跑道（13mm透气型塑胶）3502.10㎡，缓冲区、半圆区（8mmEPDM塑胶）4163.50㎡，足球场（30mm免填充草坪）7832.20㎡，铅球场（30mm人造草坪）380.80㎡填补石英砂0.4m深，沙坑场地（30mm人造草坪）24.30㎡填补石英砂0.4m深；运动场内排水沟清淤781.20m，运动场内排水沟换沟盖板220.00m，基层石英砂+专业胶水找平修补750㎡等。</w:t>
            </w:r>
            <w:r>
              <w:rPr>
                <w:rFonts w:hint="eastAsia" w:ascii="宋体" w:hAnsi="宋体"/>
                <w:snapToGrid w:val="0"/>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pPr>
              <w:snapToGrid w:val="0"/>
              <w:spacing w:line="400" w:lineRule="exact"/>
              <w:rPr>
                <w:rFonts w:ascii="宋体" w:hAnsi="宋体"/>
                <w:color w:val="auto"/>
                <w:szCs w:val="21"/>
                <w:highlight w:val="none"/>
              </w:rPr>
            </w:pPr>
            <w:r>
              <w:rPr>
                <w:rFonts w:hint="eastAsia" w:ascii="宋体" w:hAnsi="宋体"/>
                <w:snapToGrid w:val="0"/>
                <w:color w:val="auto"/>
                <w:kern w:val="0"/>
                <w:szCs w:val="21"/>
                <w:highlight w:val="none"/>
                <w:lang w:val="en-US" w:eastAsia="zh-CN"/>
              </w:rPr>
              <w:t>拟争取2023年义务教育薄弱环节改善与能力提升补助资金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比选范围</w:t>
            </w:r>
          </w:p>
        </w:tc>
        <w:tc>
          <w:tcPr>
            <w:tcW w:w="6490" w:type="dxa"/>
            <w:vAlign w:val="center"/>
          </w:tcPr>
          <w:p>
            <w:pPr>
              <w:tabs>
                <w:tab w:val="left" w:pos="3840"/>
                <w:tab w:val="left" w:pos="5300"/>
              </w:tabs>
              <w:autoSpaceDE w:val="0"/>
              <w:autoSpaceDN w:val="0"/>
              <w:adjustRightInd w:val="0"/>
              <w:snapToGrid w:val="0"/>
              <w:spacing w:line="420" w:lineRule="exact"/>
              <w:ind w:firstLine="420" w:firstLineChars="200"/>
              <w:jc w:val="left"/>
              <w:rPr>
                <w:rFonts w:ascii="宋体" w:hAnsi="宋体"/>
                <w:i/>
                <w:color w:val="auto"/>
                <w:szCs w:val="21"/>
                <w:highlight w:val="none"/>
              </w:rPr>
            </w:pPr>
            <w:r>
              <w:rPr>
                <w:rFonts w:hint="eastAsia" w:ascii="宋体" w:hAnsi="宋体" w:cs="宋体"/>
                <w:color w:val="auto"/>
                <w:szCs w:val="21"/>
                <w:highlight w:val="none"/>
              </w:rPr>
              <w:t>比选人提供的施工设计图、施工图说明等所示范围的全部工程内容以及竞争性比选文件（含答疑、补遗）、工程量清单等所有内容，具体以比选人发布的工程量清单为准。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pPr>
              <w:snapToGrid w:val="0"/>
              <w:spacing w:line="400" w:lineRule="exact"/>
              <w:ind w:firstLine="420" w:firstLineChars="200"/>
              <w:rPr>
                <w:rFonts w:hint="eastAsia" w:ascii="宋体" w:hAnsi="宋体" w:eastAsia="宋体"/>
                <w:snapToGrid w:val="0"/>
                <w:color w:val="auto"/>
                <w:kern w:val="0"/>
                <w:szCs w:val="21"/>
                <w:highlight w:val="none"/>
                <w:u w:val="single"/>
                <w:lang w:eastAsia="zh-CN"/>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90日历天</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 xml:space="preserve"> 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40" w:hRule="atLeast"/>
          <w:jc w:val="center"/>
        </w:trPr>
        <w:tc>
          <w:tcPr>
            <w:tcW w:w="1335" w:type="dxa"/>
            <w:vAlign w:val="center"/>
          </w:tcPr>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tc>
        <w:tc>
          <w:tcPr>
            <w:tcW w:w="1644" w:type="dxa"/>
            <w:vAlign w:val="center"/>
          </w:tcPr>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比选申请人资质条件、能力和信誉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比选申请人资质条件、能力和信誉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比选申请人资质条件、能力和信誉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比选申请人资质条件、能力和信誉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bookmarkStart w:id="109" w:name="OLE_LINK1"/>
            <w:r>
              <w:rPr>
                <w:rFonts w:ascii="宋体" w:hAnsi="宋体"/>
                <w:color w:val="auto"/>
                <w:szCs w:val="21"/>
                <w:highlight w:val="none"/>
              </w:rPr>
              <w:t>本工程施工比选实行资格后审，比选申请人应</w:t>
            </w:r>
            <w:bookmarkStart w:id="110" w:name="一是"/>
            <w:bookmarkEnd w:id="110"/>
            <w:r>
              <w:rPr>
                <w:rFonts w:ascii="宋体" w:hAnsi="宋体"/>
                <w:color w:val="auto"/>
                <w:szCs w:val="21"/>
                <w:highlight w:val="none"/>
              </w:rPr>
              <w:t>具备以下资格条件：</w:t>
            </w:r>
          </w:p>
          <w:bookmarkEnd w:id="109"/>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pPr>
              <w:pStyle w:val="41"/>
              <w:keepNext w:val="0"/>
              <w:keepLines w:val="0"/>
              <w:pageBreakBefore w:val="0"/>
              <w:widowControl/>
              <w:suppressLineNumbers w:val="0"/>
              <w:kinsoku/>
              <w:wordWrap/>
              <w:overflowPunct/>
              <w:topLinePunct w:val="0"/>
              <w:bidi w:val="0"/>
              <w:spacing w:before="0" w:beforeAutospacing="0" w:after="0" w:afterAutospacing="0" w:line="440" w:lineRule="exact"/>
              <w:ind w:right="0" w:firstLine="420" w:firstLineChars="200"/>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（1）比选申请人须具备建设行政主管部门颁发的有效的建筑工程施工总承包叁级及以上资质或市政公用工程施工总承包叁级及以上资质。</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比选申请人</w:t>
            </w:r>
            <w:r>
              <w:rPr>
                <w:rFonts w:ascii="宋体" w:hAnsi="宋体"/>
                <w:color w:val="auto"/>
                <w:szCs w:val="21"/>
                <w:highlight w:val="none"/>
              </w:rPr>
              <w:t>须</w:t>
            </w:r>
            <w:r>
              <w:rPr>
                <w:rFonts w:hint="eastAsia" w:ascii="宋体" w:hAnsi="宋体"/>
                <w:color w:val="auto"/>
                <w:szCs w:val="21"/>
                <w:highlight w:val="none"/>
              </w:rPr>
              <w:t>在比选申请文件资格审查部分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比选申请人</w:t>
            </w:r>
            <w:r>
              <w:rPr>
                <w:rFonts w:ascii="宋体" w:hAnsi="宋体"/>
                <w:color w:val="auto"/>
                <w:szCs w:val="21"/>
                <w:highlight w:val="none"/>
              </w:rPr>
              <w:t>须</w:t>
            </w:r>
            <w:r>
              <w:rPr>
                <w:rFonts w:hint="eastAsia" w:ascii="宋体" w:hAnsi="宋体"/>
                <w:color w:val="auto"/>
                <w:szCs w:val="21"/>
                <w:highlight w:val="none"/>
              </w:rPr>
              <w:t>在比选申请文件资格审查部分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注：不得将比选申请人营业执照记载的经营范围作为评审因素。</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比选申请人须在比选申请文件资格审查部分提供有效的安全生产许可证</w:t>
            </w:r>
            <w:r>
              <w:rPr>
                <w:rFonts w:ascii="宋体" w:hAnsi="宋体"/>
                <w:color w:val="auto"/>
                <w:szCs w:val="21"/>
                <w:highlight w:val="none"/>
              </w:rPr>
              <w:t>及安全生产考核合格证书复印件。</w:t>
            </w:r>
          </w:p>
          <w:p>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.投标截止日投标资格情况</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比选申请人自行承诺（格式见第八章比选申请文件格式）不得存在下列情形之一：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（2）被列入《重庆市工程建设领域比选投标信用管理暂行办法》规定的重点关注名单且记分达到12分且在记分有效期内；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（3）被列入《重庆市工程建设领域比选投标信用管理暂行办法》规定的重庆市工程建设领域比选投标失信惩戒对象名单（以下称黑名单）且在记分有效期内；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rPr>
              <w:t>市级有关行业</w:t>
            </w:r>
            <w:r>
              <w:rPr>
                <w:rFonts w:hint="eastAsia" w:ascii="宋体" w:hAnsi="宋体"/>
                <w:color w:val="auto"/>
                <w:szCs w:val="21"/>
                <w:highlight w:val="none"/>
              </w:rPr>
              <w:t>主管部门暂停在渝承揽新业务且在暂停期内。</w:t>
            </w:r>
          </w:p>
          <w:p>
            <w:pPr>
              <w:spacing w:line="400" w:lineRule="exact"/>
              <w:ind w:firstLine="420" w:firstLineChars="200"/>
              <w:rPr>
                <w:color w:val="auto"/>
                <w:highlight w:val="none"/>
              </w:rPr>
            </w:pPr>
            <w:r>
              <w:rPr>
                <w:rFonts w:hint="eastAsia"/>
                <w:color w:val="auto"/>
                <w:highlight w:val="none"/>
              </w:rPr>
              <w:t>比选申请人须在比选申请文件资格审查部分提供承诺。</w:t>
            </w:r>
          </w:p>
          <w:p>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.项目经理资格要求</w:t>
            </w:r>
          </w:p>
          <w:p>
            <w:pPr>
              <w:autoSpaceDE w:val="0"/>
              <w:autoSpaceDN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项目经理必须已在申请人单位注册，并具有</w:t>
            </w:r>
            <w:r>
              <w:rPr>
                <w:rFonts w:hint="eastAsia" w:ascii="宋体" w:hAnsi="宋体" w:cs="宋体"/>
                <w:b/>
                <w:bCs/>
                <w:color w:val="auto"/>
                <w:szCs w:val="21"/>
                <w:highlight w:val="none"/>
                <w:u w:val="single"/>
              </w:rPr>
              <w:t>建筑工程</w:t>
            </w:r>
            <w:r>
              <w:rPr>
                <w:rFonts w:hint="eastAsia" w:ascii="宋体" w:hAnsi="宋体" w:cs="宋体"/>
                <w:b/>
                <w:bCs/>
                <w:color w:val="auto"/>
                <w:szCs w:val="21"/>
                <w:highlight w:val="none"/>
                <w:u w:val="single"/>
                <w:lang w:val="en-US" w:eastAsia="zh-CN"/>
              </w:rPr>
              <w:t>或市政公用工程</w:t>
            </w:r>
            <w:r>
              <w:rPr>
                <w:rFonts w:hint="eastAsia" w:ascii="宋体" w:hAnsi="宋体" w:cs="宋体"/>
                <w:color w:val="auto"/>
                <w:szCs w:val="21"/>
                <w:highlight w:val="none"/>
              </w:rPr>
              <w:t>专业</w:t>
            </w:r>
            <w:r>
              <w:rPr>
                <w:rFonts w:hint="eastAsia" w:ascii="宋体" w:hAnsi="宋体" w:cs="宋体"/>
                <w:b/>
                <w:bCs/>
                <w:color w:val="auto"/>
                <w:szCs w:val="21"/>
                <w:highlight w:val="none"/>
                <w:u w:val="single"/>
              </w:rPr>
              <w:t>二级及以上</w:t>
            </w:r>
            <w:r>
              <w:rPr>
                <w:rFonts w:hint="eastAsia" w:ascii="宋体" w:hAnsi="宋体" w:cs="宋体"/>
                <w:color w:val="auto"/>
                <w:szCs w:val="21"/>
                <w:highlight w:val="none"/>
              </w:rPr>
              <w:t>注册建造师执业资格；并且不能在在建工程中任职，否则将被视为比选文件不作实质性响应，其资格审查视为不合格，比选申请文件按否决比选申请处理。</w:t>
            </w:r>
          </w:p>
          <w:p>
            <w:pPr>
              <w:autoSpaceDE w:val="0"/>
              <w:autoSpaceDN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注：项目经理须提供“项目经理委任书”及“项目经理承诺书”，并装入资格审查资料中。比选申请人须在比选申请文件资格审查部分提供有效的拟派项目经理证书、身份证、比选申请人为其缴纳的包含</w:t>
            </w:r>
            <w:r>
              <w:rPr>
                <w:rFonts w:hint="eastAsia" w:ascii="宋体" w:hAnsi="宋体" w:cs="宋体"/>
                <w:color w:val="auto"/>
                <w:szCs w:val="21"/>
                <w:highlight w:val="none"/>
                <w:lang w:eastAsia="zh-CN"/>
              </w:rPr>
              <w:t>2023年3月至2023年8月</w:t>
            </w:r>
            <w:r>
              <w:rPr>
                <w:rFonts w:hint="eastAsia" w:ascii="宋体" w:hAnsi="宋体" w:cs="宋体"/>
                <w:color w:val="auto"/>
                <w:szCs w:val="21"/>
                <w:highlight w:val="none"/>
              </w:rPr>
              <w:t>的连续养老保险证明材料复印件【养老保险参保证明须体现人员的姓名、身份证号（或社保号）、单位名称、本单位参保时间（或起始参保时间），并带有社保部门公章或社保部门的有效电子印章】。</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.其他要求</w:t>
            </w:r>
          </w:p>
          <w:p>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pPr>
              <w:snapToGrid w:val="0"/>
              <w:spacing w:line="44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工程类中</w:t>
            </w:r>
            <w:r>
              <w:rPr>
                <w:rFonts w:ascii="宋体" w:hAnsi="宋体"/>
                <w:color w:val="auto"/>
                <w:szCs w:val="21"/>
                <w:highlight w:val="none"/>
                <w:u w:val="single"/>
              </w:rPr>
              <w:t>级及以上</w:t>
            </w:r>
            <w:r>
              <w:rPr>
                <w:rFonts w:ascii="宋体" w:hAnsi="宋体"/>
                <w:color w:val="auto"/>
                <w:szCs w:val="21"/>
                <w:highlight w:val="none"/>
              </w:rPr>
              <w:t>职称；</w:t>
            </w:r>
          </w:p>
          <w:p>
            <w:pPr>
              <w:autoSpaceDE w:val="0"/>
              <w:autoSpaceDN w:val="0"/>
              <w:snapToGrid w:val="0"/>
              <w:spacing w:line="440" w:lineRule="exact"/>
              <w:ind w:firstLine="420" w:firstLineChars="200"/>
              <w:rPr>
                <w:rFonts w:ascii="宋体" w:hAnsi="宋体" w:cs="宋体"/>
                <w:color w:val="auto"/>
                <w:szCs w:val="21"/>
                <w:highlight w:val="none"/>
              </w:rPr>
            </w:pPr>
            <w:r>
              <w:rPr>
                <w:rFonts w:hint="eastAsia" w:ascii="宋体" w:hAnsi="宋体"/>
                <w:color w:val="auto"/>
                <w:kern w:val="0"/>
                <w:szCs w:val="21"/>
                <w:highlight w:val="none"/>
              </w:rPr>
              <w:t>比选申请人须在比选申请文件资格审查部分提供拟派技术负责人身份证、职称证及比选申请人本单位为其缴纳的</w:t>
            </w:r>
            <w:r>
              <w:rPr>
                <w:rFonts w:hint="eastAsia" w:ascii="宋体" w:hAnsi="宋体" w:cs="宋体"/>
                <w:color w:val="auto"/>
                <w:szCs w:val="21"/>
                <w:highlight w:val="none"/>
              </w:rPr>
              <w:t>包含</w:t>
            </w:r>
            <w:r>
              <w:rPr>
                <w:rFonts w:hint="eastAsia" w:ascii="宋体" w:hAnsi="宋体" w:cs="宋体"/>
                <w:color w:val="auto"/>
                <w:szCs w:val="21"/>
                <w:highlight w:val="none"/>
                <w:lang w:eastAsia="zh-CN"/>
              </w:rPr>
              <w:t>2023年3月至2023年8月</w:t>
            </w:r>
            <w:r>
              <w:rPr>
                <w:rFonts w:hint="eastAsia" w:ascii="宋体" w:hAnsi="宋体" w:cs="宋体"/>
                <w:color w:val="auto"/>
                <w:szCs w:val="21"/>
                <w:highlight w:val="none"/>
              </w:rPr>
              <w:t>的连续养老保险证明材料复印件【养老保险参保证明须体现人员的姓名、身份证号（或社保号）、单位名称、本单位参保时间（或起始参保时间），并带有社保部门公章或社保部门的有效电子印章】。</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比选申请人须自行承诺主要管理人员按照《重庆市房屋建筑与市政基础设施工程现场施工从业人员配备标准》（DBJ50-157-2013）及重庆市建委岗位培训相关文件规定且必须为本单位人员。承诺格式由比选申请人自拟，格式不做否决比选申请要求。</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选后签订施工合同前由比选人按照《重庆市房屋建筑与市政基础设施工程现场施工从业人员配备标准》（DBJ50-157-2013）及重庆市建委岗位培训相关文件规定核验中选单位拟派本项目的专职人员相关证件、社保证明（同项目经理要求）等要求。满足要求后方可签订施工合同，如果未在规定时间内按上述要求提交资料，比选人有权取消其中选资格没收其比选申请保证金，并报上报主管部将其列入回避企业名单。</w:t>
            </w:r>
          </w:p>
          <w:p>
            <w:pPr>
              <w:autoSpaceDE w:val="0"/>
              <w:autoSpaceDN w:val="0"/>
              <w:adjustRightInd w:val="0"/>
              <w:snapToGrid w:val="0"/>
              <w:spacing w:line="420" w:lineRule="exact"/>
              <w:ind w:firstLine="420" w:firstLineChars="200"/>
              <w:rPr>
                <w:rFonts w:ascii="宋体" w:hAnsi="宋体"/>
                <w:i/>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pPr>
              <w:autoSpaceDE w:val="0"/>
              <w:autoSpaceDN w:val="0"/>
              <w:adjustRightInd w:val="0"/>
              <w:snapToGrid w:val="0"/>
              <w:spacing w:line="42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委托代理人必须为比选申请人本单位</w:t>
            </w:r>
            <w:r>
              <w:rPr>
                <w:rFonts w:hint="eastAsia" w:ascii="宋体" w:hAnsi="宋体"/>
                <w:color w:val="auto"/>
                <w:kern w:val="0"/>
                <w:szCs w:val="21"/>
                <w:highlight w:val="none"/>
              </w:rPr>
              <w:t>人员。</w:t>
            </w:r>
          </w:p>
          <w:p>
            <w:pPr>
              <w:autoSpaceDE w:val="0"/>
              <w:autoSpaceDN w:val="0"/>
              <w:snapToGrid w:val="0"/>
              <w:spacing w:line="42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比选申请人</w:t>
            </w:r>
            <w:r>
              <w:rPr>
                <w:rFonts w:ascii="宋体" w:hAnsi="宋体"/>
                <w:color w:val="auto"/>
                <w:kern w:val="0"/>
                <w:szCs w:val="21"/>
                <w:highlight w:val="none"/>
              </w:rPr>
              <w:t>须</w:t>
            </w:r>
            <w:r>
              <w:rPr>
                <w:rFonts w:hint="eastAsia" w:ascii="宋体" w:hAnsi="宋体"/>
                <w:color w:val="auto"/>
                <w:kern w:val="0"/>
                <w:szCs w:val="21"/>
                <w:highlight w:val="none"/>
              </w:rPr>
              <w:t>在比选申请文件资格审查部分</w:t>
            </w:r>
            <w:r>
              <w:rPr>
                <w:rFonts w:ascii="宋体" w:hAnsi="宋体"/>
                <w:color w:val="auto"/>
                <w:kern w:val="0"/>
                <w:szCs w:val="21"/>
                <w:highlight w:val="none"/>
              </w:rPr>
              <w:t>提供</w:t>
            </w:r>
            <w:r>
              <w:rPr>
                <w:rFonts w:hint="eastAsia" w:ascii="宋体" w:hAnsi="宋体"/>
                <w:color w:val="auto"/>
                <w:kern w:val="0"/>
                <w:szCs w:val="21"/>
                <w:highlight w:val="none"/>
              </w:rPr>
              <w:t>比选申请人为该</w:t>
            </w:r>
            <w:r>
              <w:rPr>
                <w:rFonts w:ascii="宋体" w:hAnsi="宋体"/>
                <w:color w:val="auto"/>
                <w:kern w:val="0"/>
                <w:szCs w:val="21"/>
                <w:highlight w:val="none"/>
              </w:rPr>
              <w:t>委托代理人</w:t>
            </w:r>
            <w:r>
              <w:rPr>
                <w:rFonts w:hint="eastAsia" w:ascii="宋体" w:hAnsi="宋体"/>
                <w:color w:val="auto"/>
                <w:kern w:val="0"/>
                <w:szCs w:val="21"/>
                <w:highlight w:val="none"/>
              </w:rPr>
              <w:t>缴纳的</w:t>
            </w:r>
            <w:r>
              <w:rPr>
                <w:rFonts w:hint="eastAsia" w:ascii="宋体" w:hAnsi="宋体" w:cs="宋体"/>
                <w:color w:val="auto"/>
                <w:szCs w:val="21"/>
                <w:highlight w:val="none"/>
              </w:rPr>
              <w:t>包含</w:t>
            </w:r>
            <w:r>
              <w:rPr>
                <w:rFonts w:hint="eastAsia" w:ascii="宋体" w:hAnsi="宋体" w:cs="宋体"/>
                <w:color w:val="auto"/>
                <w:szCs w:val="21"/>
                <w:highlight w:val="none"/>
                <w:lang w:eastAsia="zh-CN"/>
              </w:rPr>
              <w:t>2023年3月至2023年8月</w:t>
            </w:r>
            <w:r>
              <w:rPr>
                <w:rFonts w:hint="eastAsia" w:ascii="宋体" w:hAnsi="宋体" w:cs="宋体"/>
                <w:color w:val="auto"/>
                <w:szCs w:val="21"/>
                <w:highlight w:val="none"/>
              </w:rPr>
              <w:t>的连续养老保险证明材料复印件【养老保险参保证明须体现人员的姓名、身份证号（或社保号）、单位名称、本单位参保时间（或起始参保时间），并带有社保部门公章或社保部门的有效电子印章】</w:t>
            </w:r>
            <w:r>
              <w:rPr>
                <w:rFonts w:hint="eastAsia" w:ascii="宋体" w:hAnsi="宋体"/>
                <w:color w:val="auto"/>
                <w:kern w:val="0"/>
                <w:szCs w:val="21"/>
                <w:highlight w:val="none"/>
              </w:rPr>
              <w:t>。否则，将由评标委员会作否决投标处理。</w:t>
            </w:r>
          </w:p>
          <w:p>
            <w:pPr>
              <w:autoSpaceDE w:val="0"/>
              <w:autoSpaceDN w:val="0"/>
              <w:adjustRightInd w:val="0"/>
              <w:snapToGrid w:val="0"/>
              <w:spacing w:line="42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（4）外地企业比选申请：</w:t>
            </w:r>
          </w:p>
          <w:p>
            <w:pPr>
              <w:autoSpaceDE w:val="0"/>
              <w:autoSpaceDN w:val="0"/>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按渝建发【2016】22号文规定，市外建筑施工企业在本市参与工程项目比选申请时，应当是已纳入“市外建筑施工企业入渝信息库”的施工企业，且该项目所配备的管理人员应当是已纳入“市外建筑施工企业入渝信息库”的人员。投标时比选申请人自行提供在“市外建筑施工企业入渝信息库”企业信息和拟投入本项目所配备管理人员信息的网上截图。</w:t>
            </w:r>
          </w:p>
          <w:p>
            <w:pPr>
              <w:autoSpaceDE w:val="0"/>
              <w:autoSpaceDN w:val="0"/>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被酉阳自治县建设行政主管部门列入清欠不良记录尚未取消的以及在招投标、建筑市场行为、工程质量安全等方面正在接受酉阳自治县建设行政主管部门调查处理而尚未结案的企业（或个人）回避本次比选申请。</w:t>
            </w:r>
          </w:p>
          <w:p>
            <w:pPr>
              <w:autoSpaceDE w:val="0"/>
              <w:autoSpaceDN w:val="0"/>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注①2019年1月1日至比选申请截止日，凡发生过较大安全事故死亡（3人及以上）在行政处罚期内的施工单位回避本次比选申请。</w:t>
            </w:r>
          </w:p>
          <w:p>
            <w:pPr>
              <w:autoSpaceDE w:val="0"/>
              <w:autoSpaceDN w:val="0"/>
              <w:adjustRightInd w:val="0"/>
              <w:snapToGrid w:val="0"/>
              <w:spacing w:line="400" w:lineRule="exact"/>
              <w:ind w:firstLine="422" w:firstLineChars="200"/>
              <w:rPr>
                <w:color w:val="auto"/>
                <w:highlight w:val="none"/>
              </w:rPr>
            </w:pPr>
            <w:r>
              <w:rPr>
                <w:rFonts w:hint="eastAsia" w:ascii="宋体" w:hAnsi="宋体"/>
                <w:b/>
                <w:bCs/>
                <w:color w:val="auto"/>
                <w:kern w:val="0"/>
                <w:szCs w:val="21"/>
                <w:highlight w:val="none"/>
              </w:rPr>
              <w:t>②在本项目比选申请截止时间前(不含比选当日)，行政处罚期已满的回避企业，提供行政处罚书复印件，并加盖单位鲜章，允许参与本次比选申请。</w:t>
            </w:r>
          </w:p>
          <w:p>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pPr>
              <w:autoSpaceDE w:val="0"/>
              <w:autoSpaceDN w:val="0"/>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1）以上1-4款原件必查（身份证、带二维码的资质证书、带二维码的营业执照、承诺书和网页截图、委任书除外），以上条款只要有一条不满足即为否决比选申请，比选申请人必须全部满足以上所有资格条件才能资格审查合格。比选申请人须在比选会结束之前将原件一次性提交，若经审查原件与比选申请文件中的内容不一致时，则比选申请文件作否决比选申请处理。比选人无论在任何时候均有权对比选申请人提供的以上资料（证书、资料的原件或复印件）进行核实，若发现资料存在虚假不实，比选人将有权随时取消其比选申请或中选资格，没收其比选申请保证金，并追究其相应的法律责任。评审委员会评审时若出现比选申请人证件等有疑点的，要立即向监督部门报告，交由监督部门处理。</w:t>
            </w:r>
          </w:p>
          <w:p>
            <w:pPr>
              <w:autoSpaceDE w:val="0"/>
              <w:autoSpaceDN w:val="0"/>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2）中选人中选后和在施工过程中,未经比选人同意，不得擅自更改比选申请文件中所报的项目经理、主要的管理人员，否则，比选人有权取消中选资格，给比选人造成的损失超过履约保证金的，还应当对超过部分予以赔偿。外地企业拟派往本项目的所有管理人员必须是在重庆市住建委登记备案的相关人员。</w:t>
            </w:r>
          </w:p>
          <w:p>
            <w:pPr>
              <w:autoSpaceDE w:val="0"/>
              <w:autoSpaceDN w:val="0"/>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（3）比选申请人的电子比选申请文件扫描件尽量使用原件扫描，必须清晰可辨；由于电子比选申请文件不清晰，导致否决比选申请，由比选申请人自行负责。</w:t>
            </w:r>
          </w:p>
          <w:p>
            <w:pPr>
              <w:autoSpaceDE w:val="0"/>
              <w:autoSpaceDN w:val="0"/>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4）根据【重庆市人力资源和社会保障局关于社会保险参保证明有关事宜的通知（渝人社发〔2015〕107号）】文件要求，重庆市开具参保证明共有3种方式，通过三种方式打印的参保证明具有相同的效用，均予以认可。</w:t>
            </w:r>
          </w:p>
          <w:p>
            <w:pPr>
              <w:autoSpaceDE w:val="0"/>
              <w:autoSpaceDN w:val="0"/>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（一）在我市参加社会保险的用人单位和个人，可在参保地社会保险公共业务管理办公室办理打印参保证明。</w:t>
            </w:r>
          </w:p>
          <w:p>
            <w:pPr>
              <w:autoSpaceDE w:val="0"/>
              <w:autoSpaceDN w:val="0"/>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（二）开通了社会保险网上业务经办权限的参保单位，可通过互联网在社会保险网上业务经办平台自助打印本单位的单位参保证明和本单位职工的个人参保证明。</w:t>
            </w:r>
          </w:p>
          <w:p>
            <w:pPr>
              <w:autoSpaceDE w:val="0"/>
              <w:autoSpaceDN w:val="0"/>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三）参保人员可通过设立在社保经办服务大厅的社保自助一体机自助打印本人的个人参保证明，开通了社会保险网上业务经办权限的参保单位可以在社保自助一体机上自助打印本单位的单位参保证明和本单位职工的个人参保证明。</w:t>
            </w:r>
          </w:p>
          <w:p>
            <w:pPr>
              <w:autoSpaceDE w:val="0"/>
              <w:autoSpaceDN w:val="0"/>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第一种方式：社保局带鲜章；</w:t>
            </w:r>
          </w:p>
          <w:p>
            <w:pPr>
              <w:autoSpaceDE w:val="0"/>
              <w:autoSpaceDN w:val="0"/>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第二种方式：网上系统自行打印的彩打件作为原件，这种方式带有水印；</w:t>
            </w:r>
          </w:p>
          <w:p>
            <w:pPr>
              <w:autoSpaceDE w:val="0"/>
              <w:autoSpaceDN w:val="0"/>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第三种方式：社保局大厅的自助打印机进行彩色打印，这种方式也带有水印，</w:t>
            </w:r>
          </w:p>
          <w:p>
            <w:pPr>
              <w:autoSpaceDE w:val="0"/>
              <w:autoSpaceDN w:val="0"/>
              <w:adjustRightInd w:val="0"/>
              <w:snapToGrid w:val="0"/>
              <w:spacing w:line="400" w:lineRule="exact"/>
              <w:ind w:firstLine="422" w:firstLineChars="200"/>
              <w:rPr>
                <w:rFonts w:ascii="宋体" w:hAnsi="宋体"/>
                <w:bCs/>
                <w:snapToGrid w:val="0"/>
                <w:color w:val="auto"/>
                <w:kern w:val="0"/>
                <w:szCs w:val="21"/>
                <w:highlight w:val="none"/>
              </w:rPr>
            </w:pPr>
            <w:r>
              <w:rPr>
                <w:rFonts w:hint="eastAsia" w:ascii="宋体" w:hAnsi="宋体"/>
                <w:b/>
                <w:bCs/>
                <w:color w:val="auto"/>
                <w:kern w:val="0"/>
                <w:szCs w:val="21"/>
                <w:highlight w:val="none"/>
              </w:rPr>
              <w:t>即：社会保险公共业务管理办公室前台出具的参保证明加盖业务鲜章，通过网上经办平台和自助一体机打印的参保证明，彩色打印电子签章。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不接受</w:t>
            </w:r>
          </w:p>
          <w:p>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pPr>
              <w:snapToGrid w:val="0"/>
              <w:spacing w:line="430" w:lineRule="exact"/>
              <w:rPr>
                <w:rFonts w:ascii="宋体" w:hAnsi="宋体"/>
                <w:color w:val="auto"/>
                <w:kern w:val="0"/>
                <w:szCs w:val="21"/>
                <w:highlight w:val="none"/>
              </w:rPr>
            </w:pPr>
            <w:r>
              <w:rPr>
                <w:rFonts w:hint="eastAsia" w:ascii="宋体" w:hAnsi="宋体" w:cs="宋体"/>
                <w:color w:val="auto"/>
                <w:kern w:val="0"/>
                <w:szCs w:val="21"/>
                <w:highlight w:val="none"/>
              </w:rPr>
              <w:t>不组织，由比选申请人自行踏勘。（</w:t>
            </w:r>
            <w:r>
              <w:rPr>
                <w:rFonts w:hint="eastAsia" w:ascii="宋体" w:hAnsi="宋体"/>
                <w:color w:val="auto"/>
                <w:szCs w:val="21"/>
                <w:highlight w:val="none"/>
              </w:rPr>
              <w:t>比选申请人应先到工地踏勘以充分了解工地位置、情况、道路、储存空间、装卸限制及任何其它足以影响承包价格的情</w:t>
            </w:r>
            <w:r>
              <w:rPr>
                <w:rFonts w:hint="eastAsia" w:ascii="宋体" w:hAnsi="宋体" w:cs="宋体"/>
                <w:color w:val="auto"/>
                <w:kern w:val="0"/>
                <w:szCs w:val="21"/>
                <w:highlight w:val="none"/>
              </w:rPr>
              <w:t>况</w:t>
            </w:r>
            <w:r>
              <w:rPr>
                <w:rFonts w:hint="eastAsia" w:ascii="宋体" w:hAnsi="宋体" w:cs="宋体"/>
                <w:color w:val="auto"/>
                <w:kern w:val="0"/>
                <w:szCs w:val="21"/>
                <w:highlight w:val="none"/>
                <w:lang w:eastAsia="zh-CN"/>
              </w:rPr>
              <w:t>，并在资审文件中专篇</w:t>
            </w:r>
            <w:r>
              <w:rPr>
                <w:rFonts w:hint="eastAsia" w:ascii="宋体" w:hAnsi="宋体" w:cs="宋体"/>
                <w:color w:val="auto"/>
                <w:kern w:val="0"/>
                <w:szCs w:val="21"/>
                <w:highlight w:val="none"/>
                <w:lang w:val="en-US" w:eastAsia="zh-CN"/>
              </w:rPr>
              <w:t>提供现场踏勘文字描述和图片</w:t>
            </w:r>
            <w:r>
              <w:rPr>
                <w:rFonts w:hint="eastAsia" w:ascii="宋体" w:hAnsi="宋体" w:cs="宋体"/>
                <w:color w:val="auto"/>
                <w:kern w:val="0"/>
                <w:szCs w:val="21"/>
                <w:highlight w:val="none"/>
              </w:rPr>
              <w:t>，任何</w:t>
            </w:r>
            <w:r>
              <w:rPr>
                <w:rFonts w:hint="eastAsia" w:ascii="宋体" w:hAnsi="宋体"/>
                <w:color w:val="auto"/>
                <w:szCs w:val="21"/>
                <w:highlight w:val="none"/>
              </w:rPr>
              <w:t>因忽视或误解工地情况而导致的索赔或工期延长申请将不获批准</w:t>
            </w:r>
            <w:r>
              <w:rPr>
                <w:rFonts w:hint="eastAsia" w:ascii="宋体" w:hAnsi="宋体"/>
                <w:color w:val="auto"/>
                <w:szCs w:val="21"/>
                <w:highlight w:val="none"/>
                <w:lang w:eastAsia="zh-CN"/>
              </w:rPr>
              <w:t>。</w:t>
            </w:r>
            <w:r>
              <w:rPr>
                <w:rFonts w:hint="eastAsia"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不召开</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不允许</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允许，分包内容要求：</w:t>
            </w:r>
          </w:p>
          <w:p>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分包金额要求：</w:t>
            </w:r>
          </w:p>
          <w:p>
            <w:pPr>
              <w:snapToGrid w:val="0"/>
              <w:spacing w:after="15" w:afterLines="5" w:line="400" w:lineRule="exact"/>
              <w:rPr>
                <w:rFonts w:ascii="宋体" w:hAnsi="宋体"/>
                <w:color w:val="auto"/>
                <w:kern w:val="0"/>
                <w:szCs w:val="21"/>
                <w:highlight w:val="none"/>
              </w:rPr>
            </w:pPr>
            <w:r>
              <w:rPr>
                <w:rFonts w:ascii="宋体" w:hAnsi="宋体"/>
                <w:color w:val="auto"/>
                <w:kern w:val="0"/>
                <w:szCs w:val="21"/>
                <w:highlight w:val="none"/>
              </w:rPr>
              <w:t>接受分包的第三人资质要求：</w:t>
            </w:r>
          </w:p>
          <w:p>
            <w:pPr>
              <w:snapToGrid w:val="0"/>
              <w:spacing w:after="15" w:afterLines="5" w:line="400" w:lineRule="exact"/>
              <w:rPr>
                <w:rFonts w:ascii="宋体" w:hAnsi="宋体"/>
                <w:color w:val="auto"/>
                <w:kern w:val="0"/>
                <w:szCs w:val="21"/>
                <w:highlight w:val="none"/>
              </w:rPr>
            </w:pPr>
            <w:r>
              <w:rPr>
                <w:rFonts w:hint="eastAsia" w:ascii="宋体" w:hAnsi="宋体"/>
                <w:color w:val="auto"/>
                <w:kern w:val="0"/>
                <w:szCs w:val="21"/>
                <w:highlight w:val="none"/>
              </w:rPr>
              <w:t>注：分包应按照相关法律法规及规范性文件执行，不得违法分包。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构成竞争性比选文件的其他材料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比选人发出的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比选申请人对竞争性比选文件提出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比选申请人在收到比选文件后，应仔细检查比选文件的所有内容，如有残缺或文字表述不清，图纸尺寸标注不明以及存在错、碰、漏、缺、概念模糊和有可能出现歧义或理解上的偏差的内容等应在2023年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22</w:t>
            </w:r>
            <w:r>
              <w:rPr>
                <w:rFonts w:hint="eastAsia" w:ascii="宋体" w:hAnsi="宋体"/>
                <w:color w:val="auto"/>
                <w:szCs w:val="21"/>
                <w:highlight w:val="none"/>
              </w:rPr>
              <w:t>日1</w:t>
            </w:r>
            <w:r>
              <w:rPr>
                <w:rFonts w:hint="eastAsia" w:ascii="宋体" w:hAnsi="宋体"/>
                <w:color w:val="auto"/>
                <w:szCs w:val="21"/>
                <w:highlight w:val="none"/>
                <w:lang w:val="en-US" w:eastAsia="zh-CN"/>
              </w:rPr>
              <w:t>7</w:t>
            </w:r>
            <w:r>
              <w:rPr>
                <w:rFonts w:hint="eastAsia" w:ascii="宋体" w:hAnsi="宋体"/>
                <w:color w:val="auto"/>
                <w:szCs w:val="21"/>
                <w:highlight w:val="none"/>
              </w:rPr>
              <w:t>:00前在重庆市公共资源交易网（酉阳县）比选申请人以匿名方式上传质疑。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比选人对竞争性比选文件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2023年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25</w:t>
            </w:r>
            <w:r>
              <w:rPr>
                <w:rFonts w:hint="eastAsia" w:ascii="宋体" w:hAnsi="宋体"/>
                <w:color w:val="auto"/>
                <w:szCs w:val="21"/>
                <w:highlight w:val="none"/>
              </w:rPr>
              <w:t>日17:30时分（北京时间），在重庆市公共资源交易网（酉阳县）发布答疑。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color w:val="auto"/>
                <w:kern w:val="0"/>
                <w:szCs w:val="21"/>
                <w:highlight w:val="none"/>
              </w:rPr>
            </w:pP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pPr>
              <w:snapToGrid w:val="0"/>
              <w:spacing w:line="36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比选申请文件递交时间：</w:t>
            </w:r>
            <w:r>
              <w:rPr>
                <w:rFonts w:hint="eastAsia" w:ascii="宋体" w:hAnsi="宋体" w:cs="宋体"/>
                <w:color w:val="auto"/>
                <w:szCs w:val="21"/>
                <w:highlight w:val="none"/>
                <w:u w:val="single"/>
              </w:rPr>
              <w:t>2023</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9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27 </w:t>
            </w:r>
            <w:r>
              <w:rPr>
                <w:rFonts w:hint="eastAsia" w:ascii="宋体" w:hAnsi="宋体" w:cs="宋体"/>
                <w:color w:val="auto"/>
                <w:szCs w:val="21"/>
                <w:highlight w:val="none"/>
              </w:rPr>
              <w:t>日</w:t>
            </w:r>
            <w:r>
              <w:rPr>
                <w:rFonts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09</w:t>
            </w:r>
            <w:r>
              <w:rPr>
                <w:rFonts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时</w:t>
            </w:r>
            <w:r>
              <w:rPr>
                <w:rFonts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00</w:t>
            </w:r>
            <w:r>
              <w:rPr>
                <w:rFonts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分至</w:t>
            </w:r>
            <w:r>
              <w:rPr>
                <w:rFonts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 xml:space="preserve">10 </w:t>
            </w:r>
            <w:r>
              <w:rPr>
                <w:rFonts w:hint="eastAsia" w:ascii="宋体" w:hAnsi="宋体" w:cs="宋体"/>
                <w:snapToGrid w:val="0"/>
                <w:color w:val="auto"/>
                <w:szCs w:val="21"/>
                <w:highlight w:val="none"/>
              </w:rPr>
              <w:t>时</w:t>
            </w:r>
            <w:r>
              <w:rPr>
                <w:rFonts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00</w:t>
            </w:r>
            <w:r>
              <w:rPr>
                <w:rFonts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分（北京时间）</w:t>
            </w:r>
          </w:p>
          <w:p>
            <w:pPr>
              <w:snapToGrid w:val="0"/>
              <w:spacing w:line="400" w:lineRule="exact"/>
              <w:ind w:firstLine="420" w:firstLineChars="200"/>
              <w:rPr>
                <w:rFonts w:ascii="宋体" w:hAnsi="宋体"/>
                <w:color w:val="auto"/>
                <w:szCs w:val="21"/>
                <w:highlight w:val="none"/>
                <w:u w:val="single"/>
              </w:rPr>
            </w:pPr>
            <w:r>
              <w:rPr>
                <w:rFonts w:hint="eastAsia" w:ascii="宋体" w:hAnsi="宋体" w:cs="宋体"/>
                <w:snapToGrid w:val="0"/>
                <w:color w:val="auto"/>
                <w:szCs w:val="21"/>
                <w:highlight w:val="none"/>
              </w:rPr>
              <w:t>比选申请文件递交截止时间：</w:t>
            </w:r>
            <w:r>
              <w:rPr>
                <w:rFonts w:hint="eastAsia" w:ascii="宋体" w:hAnsi="宋体" w:cs="宋体"/>
                <w:color w:val="auto"/>
                <w:szCs w:val="21"/>
                <w:highlight w:val="none"/>
                <w:u w:val="single"/>
              </w:rPr>
              <w:t>2023</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27 </w:t>
            </w:r>
            <w:r>
              <w:rPr>
                <w:rFonts w:hint="eastAsia" w:ascii="宋体" w:hAnsi="宋体" w:cs="宋体"/>
                <w:color w:val="auto"/>
                <w:szCs w:val="21"/>
                <w:highlight w:val="none"/>
              </w:rPr>
              <w:t>日</w:t>
            </w:r>
            <w:r>
              <w:rPr>
                <w:rFonts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10</w:t>
            </w:r>
            <w:r>
              <w:rPr>
                <w:rFonts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时</w:t>
            </w:r>
            <w:r>
              <w:rPr>
                <w:rFonts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00</w:t>
            </w:r>
            <w:r>
              <w:rPr>
                <w:rFonts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分（北京时间）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比选人对竞争性比选文件进行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s="宋体"/>
                <w:snapToGrid w:val="0"/>
                <w:color w:val="auto"/>
                <w:szCs w:val="21"/>
                <w:highlight w:val="none"/>
              </w:rPr>
              <w:t>补遗内容可能影响比选申请文件编制的，须在比选申请截止时间1日前发布，发布时间至比选申请截止时间不足1日的，须相应延后比选申请截止时间。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比选申请人对竞争性比选文件及澄清修改提出异议的截止时间</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s="宋体"/>
                <w:snapToGrid w:val="0"/>
                <w:color w:val="auto"/>
                <w:szCs w:val="21"/>
                <w:highlight w:val="none"/>
              </w:rPr>
              <w:t>比选申请人对比选文件和答疑补遗有异议的，应当在比选申请截止时间1日前，以书面形式通知比选人或比选代理机构。比选人应当自收到异议之日起2日内做出答复，并将答复内容以补遗的形式在重庆市公共资源交易网（酉阳县）发布。补遗内容可能影响比选申请文件编制的，须在比选截止时间1日前发布，发布时间至比选申请截止时间不足1日的，须相应延后比选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比选申请文件</w:t>
            </w:r>
            <w:r>
              <w:rPr>
                <w:rFonts w:ascii="宋体" w:hAnsi="宋体"/>
                <w:color w:val="auto"/>
                <w:kern w:val="0"/>
                <w:szCs w:val="21"/>
                <w:highlight w:val="none"/>
              </w:rPr>
              <w:t>的其他材料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比选申请人的书面澄清、说明和补正（但不得改变</w:t>
            </w:r>
            <w:r>
              <w:rPr>
                <w:rFonts w:hint="eastAsia" w:ascii="宋体" w:hAnsi="宋体"/>
                <w:color w:val="auto"/>
                <w:szCs w:val="21"/>
                <w:highlight w:val="none"/>
              </w:rPr>
              <w:t>比选申请文件</w:t>
            </w:r>
            <w:r>
              <w:rPr>
                <w:rFonts w:ascii="宋体" w:hAnsi="宋体"/>
                <w:color w:val="auto"/>
                <w:szCs w:val="21"/>
                <w:highlight w:val="none"/>
              </w:rPr>
              <w:t>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比选申请人应按《建设工程工程量清单计价规范》（GB50500-2013）及重庆市相关工程量清单计价规则的要求填写相应清单表格。比选申请人应按本须知、《重庆市建设工程费用定额》（CQFYDE-2018）、《重庆市住房和城乡建设委员会关于适用增值税新税率调整建设工程计价依据的通知》（渝建〔2019〕143号）和第五章“工程量清单”的要求填写相应清单表格。比选申请人的投标报价应是本章比选申请人须知前附表第1.3.1项中所述的本工程合同段比选范围内的全部工程的投标报价，并以比选申请人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pPr>
              <w:tabs>
                <w:tab w:val="left" w:pos="546"/>
                <w:tab w:val="left" w:pos="711"/>
              </w:tabs>
              <w:snapToGrid w:val="0"/>
              <w:spacing w:line="400" w:lineRule="exact"/>
              <w:ind w:left="6" w:leftChars="3"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比选申请人应认真填写工程量清单中所列的本合同各工程子目的单价或总价。比选申请人没有填入单价或总价的工程子目，比选人将认为该子目的价款已包括在工程量清单其他子目的单价和总价中。比选申请人必须按比选工程量清单填报价格。项目编码、项目名称、项目特征、计量单位、工程量必须与比选工程量清单一致。比选申请人只有严格按比选人提供的《工程量清单》所有项目进行报价，并且必须列出每项分部分项工程量清单项目综合单价分析表和施工技术措施项目综合单价分析表，才能视为总体报价完整，不得出现漏项或增项，否则视为对比选文件不作实质性响应，其比选申请文件按否决比选申请处理。</w:t>
            </w:r>
          </w:p>
          <w:p>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比选申请函中的总报价必须与已标价工程量清单总报价一致。否则由评标委员会作否决投标处理。</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u w:val="single"/>
              </w:rPr>
              <w:t>（1）在合同实施期间，单价和总价按专用合同条款第11条的规定可调整</w:t>
            </w:r>
            <w:r>
              <w:rPr>
                <w:rFonts w:hint="eastAsia" w:ascii="宋体" w:hAnsi="宋体" w:cs="宋体"/>
                <w:color w:val="auto"/>
                <w:szCs w:val="21"/>
                <w:highlight w:val="none"/>
              </w:rPr>
              <w:t>。</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（2）增值税计税方法由比选人依据国家税法规定选择：</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☑一般计税法</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□简易计税法</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如发现工程量清单中的数量与图纸中数量不一致，应于本须知第2.2.1项中规定的时间前书面通知比选人核查，除非比选人以修改的形式予以更正，否则，应以工程量清单中列出的数量为准。</w:t>
            </w:r>
          </w:p>
          <w:p>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比选人在工程量清单中所列出的价格（包括暂列金额、暂估价等），比选申请人不得修改</w:t>
            </w:r>
            <w:r>
              <w:rPr>
                <w:rFonts w:hint="eastAsia" w:ascii="宋体" w:hAnsi="宋体"/>
                <w:color w:val="auto"/>
                <w:szCs w:val="21"/>
                <w:highlight w:val="none"/>
              </w:rPr>
              <w:t>。</w:t>
            </w:r>
          </w:p>
          <w:p>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本工程比选将设置投标总报价最高限价，</w:t>
            </w:r>
            <w:r>
              <w:rPr>
                <w:rFonts w:hint="eastAsia" w:ascii="宋体" w:hAnsi="宋体" w:cs="宋体"/>
                <w:b/>
                <w:bCs/>
                <w:color w:val="auto"/>
                <w:szCs w:val="21"/>
                <w:highlight w:val="none"/>
              </w:rPr>
              <w:t>投标总报价最高限价为</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3457224.05</w:t>
            </w:r>
            <w:r>
              <w:rPr>
                <w:rFonts w:hint="eastAsia" w:ascii="宋体" w:hAnsi="宋体" w:cs="宋体"/>
                <w:b/>
                <w:bCs/>
                <w:color w:val="auto"/>
                <w:szCs w:val="21"/>
                <w:highlight w:val="none"/>
              </w:rPr>
              <w:t>元（其中安全文明施工费</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74629.23</w:t>
            </w:r>
            <w:r>
              <w:rPr>
                <w:rFonts w:hint="eastAsia" w:ascii="宋体" w:hAnsi="宋体" w:cs="宋体"/>
                <w:b/>
                <w:bCs/>
                <w:color w:val="auto"/>
                <w:szCs w:val="21"/>
                <w:highlight w:val="none"/>
              </w:rPr>
              <w:t>元）</w:t>
            </w:r>
            <w:r>
              <w:rPr>
                <w:rFonts w:hint="eastAsia" w:ascii="宋体" w:hAnsi="宋体" w:cs="宋体"/>
                <w:color w:val="auto"/>
                <w:szCs w:val="21"/>
                <w:highlight w:val="none"/>
              </w:rPr>
              <w:t>，比选申请人的投标总报价不得超过投标总报价最高限价，否则由评标委员会作</w:t>
            </w:r>
            <w:r>
              <w:rPr>
                <w:rFonts w:hint="eastAsia" w:ascii="宋体" w:hAnsi="宋体"/>
                <w:color w:val="auto"/>
                <w:szCs w:val="21"/>
                <w:highlight w:val="none"/>
              </w:rPr>
              <w:t>否决投标处理。</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本工程比选将设置全部工程量清单综合单价最高限价，比选申请人的每项清单综合单价报价不得超过每项清单综合单价最高限价。</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比选人在合同签订前将对中标人已标价工程量清单进行清标。若发现中标人的工程量清单综合单价报价超过比选时给出的工程量清单综合单价最高限价的，在工程结算时比选人将以发出的工程量清单综合单价最高限价为基础，按照中标人的中标总报价与本工程的总价最高限价的下浮比例进行同比例下调，中标人必须无条件接受，否则按中标人违约处理。比选申请人须在比选申请文件资格审查部分提供承诺函，承诺函包括以下内容：</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（1）符合第五章“工程量清单”给出的范围及数量。</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（2）竞争性比选文件中规定工程量清单不允许修改的内容不得修改。</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（3）每项工程量清单综合单价报价不得高于对应工程量清单综合单价最高限价。</w:t>
            </w:r>
          </w:p>
          <w:p>
            <w:pPr>
              <w:pStyle w:val="2"/>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pPr>
              <w:pStyle w:val="106"/>
              <w:spacing w:line="400" w:lineRule="exact"/>
              <w:ind w:firstLineChars="200"/>
              <w:rPr>
                <w:color w:val="auto"/>
                <w:sz w:val="21"/>
                <w:szCs w:val="21"/>
                <w:highlight w:val="none"/>
              </w:rPr>
            </w:pPr>
            <w:r>
              <w:rPr>
                <w:color w:val="auto"/>
                <w:sz w:val="21"/>
                <w:szCs w:val="21"/>
                <w:highlight w:val="none"/>
              </w:rPr>
              <w:t>9.2本工程安全文明施工费由比选人根据《建设工程工程量清单计价规范》（GB50500-2013）、《重庆市建设工程工程量清单计价规则》（CQJJGZ-2013）、《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关于印发&lt;重庆市建设工程安全文明施工费计取及使用管理规定&gt;的通知》（渝建发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w:t>
            </w:r>
            <w:r>
              <w:rPr>
                <w:rFonts w:hint="eastAsia"/>
                <w:color w:val="auto"/>
                <w:sz w:val="21"/>
                <w:szCs w:val="21"/>
                <w:highlight w:val="none"/>
                <w:lang w:eastAsia="zh-CN"/>
              </w:rPr>
              <w:t>并在技术方案的安全管理体系中明确专款专用，不得挪为它用。</w:t>
            </w:r>
            <w:r>
              <w:rPr>
                <w:color w:val="auto"/>
                <w:sz w:val="21"/>
                <w:szCs w:val="21"/>
                <w:highlight w:val="none"/>
              </w:rPr>
              <w:t>安全文明施工费为暂定金额，与最高限价一起公布。《</w:t>
            </w:r>
            <w:r>
              <w:rPr>
                <w:rFonts w:hint="eastAsia"/>
                <w:color w:val="auto"/>
                <w:sz w:val="21"/>
                <w:szCs w:val="21"/>
                <w:highlight w:val="none"/>
              </w:rPr>
              <w:t>比选申请函</w:t>
            </w:r>
            <w:r>
              <w:rPr>
                <w:color w:val="auto"/>
                <w:sz w:val="21"/>
                <w:szCs w:val="21"/>
                <w:highlight w:val="none"/>
              </w:rPr>
              <w:t>》中的安全文明施工费</w:t>
            </w:r>
            <w:r>
              <w:rPr>
                <w:rFonts w:hint="eastAsia"/>
                <w:color w:val="auto"/>
                <w:sz w:val="21"/>
                <w:szCs w:val="21"/>
                <w:highlight w:val="none"/>
              </w:rPr>
              <w:t>金额或工程量清单中安全文明施工费的汇总金额未</w:t>
            </w:r>
            <w:r>
              <w:rPr>
                <w:color w:val="auto"/>
                <w:sz w:val="21"/>
                <w:szCs w:val="21"/>
                <w:highlight w:val="none"/>
              </w:rPr>
              <w:t>按照比选人给出的暂定金额填报</w:t>
            </w:r>
            <w:r>
              <w:rPr>
                <w:rFonts w:hint="eastAsia"/>
                <w:color w:val="auto"/>
                <w:sz w:val="21"/>
                <w:szCs w:val="21"/>
                <w:highlight w:val="none"/>
              </w:rPr>
              <w:t>的</w:t>
            </w:r>
            <w:r>
              <w:rPr>
                <w:color w:val="auto"/>
                <w:sz w:val="21"/>
                <w:szCs w:val="21"/>
                <w:highlight w:val="none"/>
              </w:rPr>
              <w:t>，视为对竞争性比选文件不作实质性响应，其</w:t>
            </w:r>
            <w:r>
              <w:rPr>
                <w:rFonts w:hint="eastAsia"/>
                <w:color w:val="auto"/>
                <w:sz w:val="21"/>
                <w:szCs w:val="21"/>
                <w:highlight w:val="none"/>
              </w:rPr>
              <w:t>比选申请文件由评标委员会</w:t>
            </w:r>
            <w:r>
              <w:rPr>
                <w:color w:val="auto"/>
                <w:sz w:val="21"/>
                <w:szCs w:val="21"/>
                <w:highlight w:val="none"/>
              </w:rPr>
              <w:t>作否决投标处理。</w:t>
            </w:r>
          </w:p>
          <w:p>
            <w:pPr>
              <w:pStyle w:val="106"/>
              <w:spacing w:line="400" w:lineRule="exact"/>
              <w:ind w:firstLineChars="200"/>
              <w:rPr>
                <w:color w:val="auto"/>
                <w:sz w:val="21"/>
                <w:szCs w:val="21"/>
                <w:highlight w:val="none"/>
              </w:rPr>
            </w:pPr>
            <w:r>
              <w:rPr>
                <w:rFonts w:hint="eastAsia"/>
                <w:color w:val="auto"/>
                <w:sz w:val="21"/>
                <w:szCs w:val="21"/>
                <w:highlight w:val="none"/>
              </w:rPr>
              <w:t>注：采用全费用清单计价的项目，安全文明施工费仅针对《比选申请函》中的安全文明施工费进行评审。</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本工程所需材料（含设备）价格由比选申请人参照重庆市建设工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程造价管理总站发布的《重庆工程造价信息》或工程造价管理机构发布的工程造价信息（造价信息引用时限为竞争性比选公告发布日期前一期），并结合市场行情及自身实力进行自主报价。</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详见施工合同 </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pPr>
              <w:pStyle w:val="2"/>
              <w:tabs>
                <w:tab w:val="left" w:pos="546"/>
                <w:tab w:val="left" w:pos="711"/>
              </w:tabs>
              <w:snapToGrid w:val="0"/>
              <w:spacing w:after="0" w:line="400" w:lineRule="exact"/>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rPr>
              <w:t>比选申请文件</w:t>
            </w:r>
            <w:r>
              <w:rPr>
                <w:rFonts w:ascii="宋体" w:hAnsi="宋体"/>
                <w:color w:val="auto"/>
                <w:szCs w:val="21"/>
                <w:highlight w:val="none"/>
              </w:rPr>
              <w:t>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pPr>
              <w:snapToGrid w:val="0"/>
              <w:spacing w:line="400" w:lineRule="exact"/>
              <w:ind w:firstLine="420" w:firstLineChars="200"/>
              <w:rPr>
                <w:color w:val="auto"/>
                <w:highlight w:val="none"/>
              </w:rPr>
            </w:pPr>
            <w:r>
              <w:rPr>
                <w:rFonts w:hint="eastAsia"/>
                <w:color w:val="auto"/>
                <w:highlight w:val="none"/>
              </w:rPr>
              <w:t>投标保证金的交纳方式：投标人可选择以下三种方式之一。</w:t>
            </w:r>
          </w:p>
          <w:p>
            <w:pPr>
              <w:snapToGrid w:val="0"/>
              <w:spacing w:line="400" w:lineRule="exact"/>
              <w:ind w:firstLine="420" w:firstLineChars="200"/>
              <w:rPr>
                <w:color w:val="auto"/>
                <w:highlight w:val="none"/>
              </w:rPr>
            </w:pPr>
            <w:r>
              <w:rPr>
                <w:rFonts w:hint="eastAsia"/>
                <w:color w:val="auto"/>
                <w:highlight w:val="none"/>
              </w:rPr>
              <w:t>方式一</w:t>
            </w:r>
          </w:p>
          <w:p>
            <w:pPr>
              <w:snapToGrid w:val="0"/>
              <w:spacing w:line="400" w:lineRule="exact"/>
              <w:ind w:firstLine="420" w:firstLineChars="200"/>
              <w:rPr>
                <w:color w:val="auto"/>
                <w:highlight w:val="none"/>
              </w:rPr>
            </w:pPr>
            <w:r>
              <w:rPr>
                <w:color w:val="auto"/>
                <w:highlight w:val="none"/>
              </w:rPr>
              <w:t>一、</w:t>
            </w:r>
            <w:r>
              <w:rPr>
                <w:rFonts w:hint="eastAsia"/>
                <w:color w:val="auto"/>
                <w:highlight w:val="none"/>
              </w:rPr>
              <w:t>以电子投标保函形式交纳投标保证金</w:t>
            </w:r>
          </w:p>
          <w:p>
            <w:pPr>
              <w:snapToGrid w:val="0"/>
              <w:spacing w:line="400" w:lineRule="exact"/>
              <w:ind w:firstLine="420" w:firstLineChars="200"/>
              <w:rPr>
                <w:color w:val="auto"/>
                <w:highlight w:val="none"/>
              </w:rPr>
            </w:pPr>
            <w:r>
              <w:rPr>
                <w:rFonts w:hint="eastAsia"/>
                <w:color w:val="auto"/>
                <w:highlight w:val="none"/>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napToGrid w:val="0"/>
              <w:spacing w:line="400" w:lineRule="exact"/>
              <w:ind w:firstLine="420" w:firstLineChars="200"/>
              <w:rPr>
                <w:color w:val="auto"/>
                <w:highlight w:val="none"/>
              </w:rPr>
            </w:pPr>
            <w:r>
              <w:rPr>
                <w:rFonts w:hint="eastAsia"/>
                <w:color w:val="auto"/>
                <w:highlight w:val="none"/>
              </w:rPr>
              <w:t>若投标截止时间延期，则电子投标保函提交的截止时间和投标截止时间应当保持一致。</w:t>
            </w:r>
          </w:p>
          <w:p>
            <w:pPr>
              <w:snapToGrid w:val="0"/>
              <w:spacing w:line="400" w:lineRule="exact"/>
              <w:ind w:firstLine="420" w:firstLineChars="200"/>
              <w:rPr>
                <w:color w:val="auto"/>
                <w:highlight w:val="none"/>
              </w:rPr>
            </w:pPr>
            <w:r>
              <w:rPr>
                <w:rFonts w:hint="eastAsia" w:ascii="宋体" w:hAnsi="宋体"/>
                <w:color w:val="auto"/>
                <w:kern w:val="0"/>
                <w:szCs w:val="21"/>
                <w:highlight w:val="none"/>
              </w:rPr>
              <w:t>不满足上述要求的电子</w:t>
            </w:r>
            <w:r>
              <w:rPr>
                <w:rFonts w:ascii="宋体" w:hAnsi="宋体"/>
                <w:color w:val="auto"/>
                <w:kern w:val="0"/>
                <w:szCs w:val="21"/>
                <w:highlight w:val="none"/>
              </w:rPr>
              <w:t>投标保函无效。</w:t>
            </w:r>
          </w:p>
          <w:p>
            <w:pPr>
              <w:snapToGrid w:val="0"/>
              <w:spacing w:line="400" w:lineRule="exact"/>
              <w:ind w:firstLine="420" w:firstLineChars="200"/>
              <w:rPr>
                <w:color w:val="auto"/>
                <w:highlight w:val="none"/>
              </w:rPr>
            </w:pPr>
            <w:r>
              <w:rPr>
                <w:color w:val="auto"/>
                <w:highlight w:val="none"/>
              </w:rPr>
              <w:t>2</w:t>
            </w:r>
            <w:r>
              <w:rPr>
                <w:rFonts w:hint="eastAsia"/>
                <w:color w:val="auto"/>
                <w:highlight w:val="none"/>
              </w:rPr>
              <w:t>. 以电子投标保函形式担保的</w:t>
            </w:r>
            <w:r>
              <w:rPr>
                <w:color w:val="auto"/>
                <w:highlight w:val="none"/>
              </w:rPr>
              <w:t>投标保证金的金额：</w:t>
            </w:r>
            <w:r>
              <w:rPr>
                <w:rFonts w:hint="eastAsia"/>
                <w:color w:val="auto"/>
                <w:highlight w:val="none"/>
                <w:u w:val="single"/>
                <w:lang w:val="en-US" w:eastAsia="zh-CN"/>
              </w:rPr>
              <w:t>6</w:t>
            </w:r>
            <w:r>
              <w:rPr>
                <w:color w:val="auto"/>
                <w:highlight w:val="none"/>
              </w:rPr>
              <w:t>万元整（人民币）</w:t>
            </w:r>
            <w:r>
              <w:rPr>
                <w:rFonts w:hint="eastAsia"/>
                <w:color w:val="auto"/>
                <w:highlight w:val="none"/>
              </w:rPr>
              <w:t>，重庆市工程建设领域招标投标守信激励对象名单（以下简称红名单）中的投标人投标保证金金额为应缴纳金额的50%；联合体投标的，须联合体牵头人在红名单中。投标人是否属于红名单，以开标环节信用状况查询结果为准。</w:t>
            </w:r>
          </w:p>
          <w:p>
            <w:pPr>
              <w:ind w:firstLine="420" w:firstLineChars="200"/>
              <w:rPr>
                <w:color w:val="auto"/>
                <w:highlight w:val="none"/>
              </w:rPr>
            </w:pPr>
            <w:r>
              <w:rPr>
                <w:rFonts w:hint="eastAsia"/>
                <w:color w:val="auto"/>
                <w:highlight w:val="none"/>
              </w:rPr>
              <w:t>3. 电子投标保函</w:t>
            </w:r>
          </w:p>
          <w:p>
            <w:pPr>
              <w:snapToGrid w:val="0"/>
              <w:spacing w:line="400" w:lineRule="exact"/>
              <w:ind w:firstLine="420" w:firstLineChars="200"/>
              <w:rPr>
                <w:color w:val="auto"/>
                <w:highlight w:val="none"/>
              </w:rPr>
            </w:pPr>
            <w:r>
              <w:rPr>
                <w:rFonts w:hint="eastAsia"/>
                <w:color w:val="auto"/>
                <w:highlight w:val="none"/>
              </w:rPr>
              <w:t>以</w:t>
            </w:r>
            <w:r>
              <w:rPr>
                <w:rFonts w:hint="eastAsia"/>
                <w:color w:val="auto"/>
                <w:highlight w:val="none"/>
                <w:u w:val="single"/>
                <w:lang w:eastAsia="zh-CN"/>
              </w:rPr>
              <w:t>重庆市公共资源交易中心酉阳分中心</w:t>
            </w:r>
            <w:r>
              <w:rPr>
                <w:rFonts w:hint="eastAsia"/>
                <w:color w:val="auto"/>
                <w:highlight w:val="none"/>
              </w:rPr>
              <w:t>开标现场展示的电子投标保函交纳情况为准，投标人在投标时无须再提供电子投标保函的相关资料。</w:t>
            </w:r>
          </w:p>
          <w:p>
            <w:pPr>
              <w:snapToGrid w:val="0"/>
              <w:spacing w:line="400" w:lineRule="exact"/>
              <w:ind w:firstLine="420" w:firstLineChars="200"/>
              <w:rPr>
                <w:color w:val="auto"/>
                <w:highlight w:val="none"/>
              </w:rPr>
            </w:pPr>
            <w:r>
              <w:rPr>
                <w:rFonts w:hint="eastAsia"/>
                <w:color w:val="auto"/>
                <w:highlight w:val="none"/>
              </w:rPr>
              <w:t>4.</w:t>
            </w:r>
            <w:r>
              <w:rPr>
                <w:color w:val="auto"/>
                <w:highlight w:val="none"/>
              </w:rPr>
              <w:t xml:space="preserve"> </w:t>
            </w:r>
            <w:r>
              <w:rPr>
                <w:rFonts w:hint="eastAsia"/>
                <w:color w:val="auto"/>
                <w:highlight w:val="none"/>
              </w:rPr>
              <w:t>若投标人为联合体，则由联合体牵头人提供电子投标保函。</w:t>
            </w:r>
          </w:p>
          <w:p>
            <w:pPr>
              <w:snapToGrid w:val="0"/>
              <w:spacing w:line="400" w:lineRule="exact"/>
              <w:ind w:firstLine="420" w:firstLineChars="200"/>
              <w:rPr>
                <w:color w:val="auto"/>
                <w:highlight w:val="none"/>
              </w:rPr>
            </w:pPr>
            <w:r>
              <w:rPr>
                <w:color w:val="auto"/>
                <w:highlight w:val="none"/>
              </w:rPr>
              <w:t>二、</w:t>
            </w:r>
            <w:r>
              <w:rPr>
                <w:rFonts w:hint="eastAsia"/>
                <w:color w:val="auto"/>
                <w:highlight w:val="none"/>
              </w:rPr>
              <w:t>电子</w:t>
            </w:r>
            <w:r>
              <w:rPr>
                <w:color w:val="auto"/>
                <w:highlight w:val="none"/>
              </w:rPr>
              <w:t>投标保函的</w:t>
            </w:r>
            <w:r>
              <w:rPr>
                <w:rFonts w:hint="eastAsia"/>
                <w:color w:val="auto"/>
                <w:highlight w:val="none"/>
              </w:rPr>
              <w:t>注销</w:t>
            </w:r>
          </w:p>
          <w:p>
            <w:pPr>
              <w:snapToGrid w:val="0"/>
              <w:spacing w:line="400" w:lineRule="exact"/>
              <w:ind w:firstLine="420" w:firstLineChars="200"/>
              <w:rPr>
                <w:color w:val="auto"/>
                <w:highlight w:val="none"/>
              </w:rPr>
            </w:pPr>
            <w:r>
              <w:rPr>
                <w:rFonts w:hint="eastAsia"/>
                <w:color w:val="auto"/>
                <w:highlight w:val="none"/>
              </w:rPr>
              <w:t>招标人应当在法定时间内确定中标人。招标人应当在中标通知书发出后2个工作日内将中标通知书和电子投标保函退还通知抄告</w:t>
            </w:r>
            <w:r>
              <w:rPr>
                <w:rFonts w:hint="eastAsia"/>
                <w:color w:val="auto"/>
                <w:highlight w:val="none"/>
                <w:u w:val="single"/>
                <w:lang w:eastAsia="zh-CN"/>
              </w:rPr>
              <w:t>重庆市公共资源交易中心酉阳分中心</w:t>
            </w:r>
            <w:r>
              <w:rPr>
                <w:rFonts w:hint="eastAsia"/>
                <w:color w:val="auto"/>
                <w:highlight w:val="none"/>
              </w:rPr>
              <w:t>，</w:t>
            </w:r>
            <w:r>
              <w:rPr>
                <w:rFonts w:hint="eastAsia"/>
                <w:color w:val="auto"/>
                <w:highlight w:val="none"/>
                <w:u w:val="single"/>
                <w:lang w:eastAsia="zh-CN"/>
              </w:rPr>
              <w:t>重庆市公共资源交易中心酉阳分中心</w:t>
            </w:r>
            <w:r>
              <w:rPr>
                <w:rFonts w:hint="eastAsia"/>
                <w:color w:val="auto"/>
                <w:highlight w:val="none"/>
              </w:rPr>
              <w:t>在收到电子投标保函退还通知后2个工作日内，将保函注销信息推送给重庆市公共资源交易金融服务平台，由保函出具机构注销除中标人和中标候选人以外的投标人电子投标保函。</w:t>
            </w:r>
          </w:p>
          <w:p>
            <w:pPr>
              <w:spacing w:line="400" w:lineRule="exact"/>
              <w:ind w:firstLine="420" w:firstLineChars="200"/>
              <w:rPr>
                <w:color w:val="auto"/>
                <w:highlight w:val="none"/>
              </w:rPr>
            </w:pPr>
            <w:r>
              <w:rPr>
                <w:rFonts w:hint="eastAsia"/>
                <w:color w:val="auto"/>
                <w:highlight w:val="none"/>
              </w:rPr>
              <w:t>招标人应当在法定时间内和中标人签订合同。招标人应当在合同生效后2个工作日内将签订的合同和电子投标保函退还通知抄告</w:t>
            </w:r>
            <w:r>
              <w:rPr>
                <w:rFonts w:hint="eastAsia"/>
                <w:color w:val="auto"/>
                <w:highlight w:val="none"/>
                <w:u w:val="single"/>
                <w:lang w:eastAsia="zh-CN"/>
              </w:rPr>
              <w:t>重庆市公共资源交易中心酉阳分中心</w:t>
            </w:r>
            <w:r>
              <w:rPr>
                <w:rFonts w:hint="eastAsia"/>
                <w:color w:val="auto"/>
                <w:highlight w:val="none"/>
              </w:rPr>
              <w:t>，</w:t>
            </w:r>
            <w:r>
              <w:rPr>
                <w:rFonts w:hint="eastAsia"/>
                <w:color w:val="auto"/>
                <w:highlight w:val="none"/>
                <w:u w:val="single"/>
                <w:lang w:eastAsia="zh-CN"/>
              </w:rPr>
              <w:t>重庆市公共资源交易中心酉阳分中心</w:t>
            </w:r>
            <w:r>
              <w:rPr>
                <w:rFonts w:hint="eastAsia"/>
                <w:color w:val="auto"/>
                <w:highlight w:val="none"/>
              </w:rPr>
              <w:t>在收到电子投标保函退还通知后2个工作日内，将保函注销信息推送给重庆市公共资源交易金融服务平台，由保函出具机构注销中标人和中标候选人的电子投标保函。</w:t>
            </w:r>
          </w:p>
          <w:p>
            <w:pPr>
              <w:snapToGrid w:val="0"/>
              <w:spacing w:line="400" w:lineRule="exact"/>
              <w:ind w:firstLine="420" w:firstLineChars="200"/>
              <w:rPr>
                <w:color w:val="auto"/>
                <w:highlight w:val="none"/>
              </w:rPr>
            </w:pPr>
          </w:p>
          <w:p>
            <w:pPr>
              <w:snapToGrid w:val="0"/>
              <w:spacing w:line="400" w:lineRule="exact"/>
              <w:ind w:firstLine="420" w:firstLineChars="200"/>
              <w:rPr>
                <w:color w:val="auto"/>
                <w:highlight w:val="none"/>
              </w:rPr>
            </w:pPr>
            <w:r>
              <w:rPr>
                <w:rFonts w:hint="eastAsia"/>
                <w:color w:val="auto"/>
                <w:highlight w:val="none"/>
              </w:rPr>
              <w:t>方式二</w:t>
            </w:r>
          </w:p>
          <w:p>
            <w:pPr>
              <w:snapToGrid w:val="0"/>
              <w:spacing w:line="400" w:lineRule="exact"/>
              <w:ind w:firstLine="420" w:firstLineChars="200"/>
              <w:rPr>
                <w:color w:val="auto"/>
                <w:highlight w:val="none"/>
              </w:rPr>
            </w:pPr>
            <w:r>
              <w:rPr>
                <w:rFonts w:hint="eastAsia"/>
                <w:color w:val="auto"/>
                <w:highlight w:val="none"/>
              </w:rPr>
              <w:t>一、以转账支票或电汇形式交纳投标保证金</w:t>
            </w:r>
          </w:p>
          <w:p>
            <w:pPr>
              <w:snapToGrid w:val="0"/>
              <w:spacing w:line="400" w:lineRule="exact"/>
              <w:ind w:firstLine="420" w:firstLineChars="200"/>
              <w:rPr>
                <w:color w:val="auto"/>
                <w:highlight w:val="none"/>
              </w:rPr>
            </w:pPr>
            <w:r>
              <w:rPr>
                <w:rFonts w:hint="eastAsia"/>
                <w:color w:val="auto"/>
                <w:highlight w:val="none"/>
              </w:rPr>
              <w:t>1、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olor w:val="auto"/>
                <w:kern w:val="0"/>
                <w:szCs w:val="21"/>
                <w:highlight w:val="none"/>
              </w:rPr>
              <w:t>不满足上述要求的投标保证金</w:t>
            </w:r>
            <w:r>
              <w:rPr>
                <w:rFonts w:ascii="宋体" w:hAnsi="宋体"/>
                <w:color w:val="auto"/>
                <w:kern w:val="0"/>
                <w:szCs w:val="21"/>
                <w:highlight w:val="none"/>
              </w:rPr>
              <w:t>无效。</w:t>
            </w:r>
          </w:p>
          <w:p>
            <w:pPr>
              <w:snapToGrid w:val="0"/>
              <w:spacing w:line="400" w:lineRule="exact"/>
              <w:ind w:firstLine="420" w:firstLineChars="200"/>
              <w:rPr>
                <w:color w:val="auto"/>
                <w:highlight w:val="none"/>
              </w:rPr>
            </w:pPr>
            <w:r>
              <w:rPr>
                <w:rFonts w:hint="eastAsia"/>
                <w:color w:val="auto"/>
                <w:highlight w:val="none"/>
              </w:rPr>
              <w:t>投标人自行考虑汇入时间风险，如同城汇入、异地汇入、跨行汇入的时间要求。</w:t>
            </w:r>
          </w:p>
          <w:p>
            <w:pPr>
              <w:snapToGrid w:val="0"/>
              <w:spacing w:line="400" w:lineRule="exact"/>
              <w:ind w:firstLine="420" w:firstLineChars="200"/>
              <w:rPr>
                <w:color w:val="auto"/>
                <w:highlight w:val="none"/>
              </w:rPr>
            </w:pPr>
            <w:r>
              <w:rPr>
                <w:rFonts w:hint="eastAsia"/>
                <w:color w:val="auto"/>
                <w:highlight w:val="none"/>
              </w:rPr>
              <w:t>2、以转账支票或电汇形式提交投标保证金的金额：</w:t>
            </w:r>
            <w:r>
              <w:rPr>
                <w:rFonts w:hint="eastAsia"/>
                <w:color w:val="auto"/>
                <w:highlight w:val="none"/>
                <w:u w:val="single"/>
              </w:rPr>
              <w:t xml:space="preserve"> </w:t>
            </w:r>
            <w:r>
              <w:rPr>
                <w:rFonts w:hint="eastAsia"/>
                <w:color w:val="auto"/>
                <w:highlight w:val="none"/>
                <w:u w:val="single"/>
                <w:lang w:val="en-US" w:eastAsia="zh-CN"/>
              </w:rPr>
              <w:t>6</w:t>
            </w:r>
            <w:r>
              <w:rPr>
                <w:rFonts w:hint="eastAsia"/>
                <w:color w:val="auto"/>
                <w:highlight w:val="none"/>
              </w:rPr>
              <w:t>万元整（人民币）</w:t>
            </w:r>
            <w:r>
              <w:rPr>
                <w:rFonts w:hint="eastAsia" w:ascii="宋体" w:hAnsi="宋体"/>
                <w:color w:val="auto"/>
                <w:kern w:val="0"/>
                <w:szCs w:val="21"/>
                <w:highlight w:val="none"/>
              </w:rPr>
              <w:t>，红名单</w:t>
            </w:r>
            <w:r>
              <w:rPr>
                <w:rFonts w:hint="eastAsia"/>
                <w:color w:val="auto"/>
                <w:highlight w:val="none"/>
              </w:rPr>
              <w:t>中的投标人投标保证金金额为应缴纳金额的50%；联合体投标的，须联合体牵头人在红名单中。投标人是否属于红名单，以开标环节信用状况查询结果为准。</w:t>
            </w:r>
          </w:p>
          <w:p>
            <w:pPr>
              <w:snapToGrid w:val="0"/>
              <w:spacing w:line="400" w:lineRule="exact"/>
              <w:ind w:firstLine="420" w:firstLineChars="200"/>
              <w:rPr>
                <w:color w:val="auto"/>
                <w:highlight w:val="none"/>
              </w:rPr>
            </w:pPr>
            <w:r>
              <w:rPr>
                <w:rFonts w:hint="eastAsia"/>
                <w:color w:val="auto"/>
                <w:highlight w:val="none"/>
              </w:rPr>
              <w:t>3、投标保证金账户及账号（任选其一）：</w:t>
            </w:r>
          </w:p>
          <w:p>
            <w:pPr>
              <w:snapToGrid w:val="0"/>
              <w:spacing w:line="400" w:lineRule="exact"/>
              <w:ind w:firstLine="420" w:firstLineChars="200"/>
              <w:rPr>
                <w:color w:val="auto"/>
                <w:highlight w:val="none"/>
              </w:rPr>
            </w:pPr>
            <w:r>
              <w:rPr>
                <w:rFonts w:hint="eastAsia"/>
                <w:color w:val="auto"/>
                <w:highlight w:val="none"/>
              </w:rPr>
              <w:t>详见</w:t>
            </w:r>
            <w:r>
              <w:rPr>
                <w:rFonts w:hint="eastAsia"/>
                <w:color w:val="auto"/>
                <w:highlight w:val="none"/>
                <w:u w:val="single"/>
              </w:rPr>
              <w:t>重庆市公共资源交易网（酉阳县）（www.cqggzy.com/youyangweb/）</w:t>
            </w:r>
            <w:r>
              <w:rPr>
                <w:rFonts w:hint="eastAsia"/>
                <w:color w:val="auto"/>
                <w:highlight w:val="none"/>
              </w:rPr>
              <w:t>对应本项目招标公告信息栏中的保证金信息。</w:t>
            </w:r>
          </w:p>
          <w:p>
            <w:pPr>
              <w:snapToGrid w:val="0"/>
              <w:spacing w:line="400" w:lineRule="exact"/>
              <w:ind w:firstLine="420" w:firstLineChars="200"/>
              <w:rPr>
                <w:color w:val="auto"/>
                <w:highlight w:val="none"/>
              </w:rPr>
            </w:pPr>
            <w:r>
              <w:rPr>
                <w:rFonts w:hint="eastAsia"/>
                <w:color w:val="auto"/>
                <w:highlight w:val="none"/>
              </w:rPr>
              <w:t>投标保证金以</w:t>
            </w:r>
            <w:r>
              <w:rPr>
                <w:rFonts w:hint="eastAsia"/>
                <w:color w:val="auto"/>
                <w:highlight w:val="none"/>
                <w:u w:val="single"/>
                <w:lang w:eastAsia="zh-CN"/>
              </w:rPr>
              <w:t>重庆市公共资源交易中心酉阳分中心</w:t>
            </w:r>
            <w:r>
              <w:rPr>
                <w:rFonts w:hint="eastAsia"/>
                <w:color w:val="auto"/>
                <w:highlight w:val="none"/>
              </w:rPr>
              <w:t>开标现场展示的保证金交纳情况为准。投标人须在投标文件资格审查部分</w:t>
            </w:r>
            <w:r>
              <w:rPr>
                <w:rFonts w:hint="eastAsia" w:ascii="宋体" w:hAnsi="宋体"/>
                <w:color w:val="auto"/>
                <w:kern w:val="0"/>
                <w:szCs w:val="21"/>
                <w:highlight w:val="none"/>
              </w:rPr>
              <w:t>“其他资料”中提供企业基本账户开户证明文件。</w:t>
            </w:r>
          </w:p>
          <w:p>
            <w:pPr>
              <w:snapToGrid w:val="0"/>
              <w:spacing w:line="400" w:lineRule="exact"/>
              <w:ind w:firstLine="420" w:firstLineChars="200"/>
              <w:rPr>
                <w:color w:val="auto"/>
                <w:highlight w:val="none"/>
                <w:u w:val="single"/>
              </w:rPr>
            </w:pPr>
            <w:r>
              <w:rPr>
                <w:rFonts w:hint="eastAsia"/>
                <w:color w:val="auto"/>
                <w:highlight w:val="none"/>
              </w:rPr>
              <w:t>4、投标人必须在付款凭证备注栏中注明是“</w:t>
            </w:r>
            <w:r>
              <w:rPr>
                <w:rFonts w:hint="eastAsia" w:ascii="Times New Roman" w:hAnsi="Times New Roman" w:eastAsia="宋体" w:cs="Times New Roman"/>
                <w:color w:val="auto"/>
                <w:highlight w:val="none"/>
                <w:u w:val="single"/>
                <w:lang w:val="en-US" w:eastAsia="zh-CN"/>
              </w:rPr>
              <w:t>酉阳县实验中学校塑胶运动场维修改造项目</w:t>
            </w:r>
            <w:r>
              <w:rPr>
                <w:rFonts w:hint="eastAsia"/>
                <w:color w:val="auto"/>
                <w:highlight w:val="none"/>
              </w:rPr>
              <w:t>投标保证金”。项目名称可简写成：</w:t>
            </w:r>
            <w:r>
              <w:rPr>
                <w:rFonts w:hint="eastAsia" w:ascii="Times New Roman" w:hAnsi="Times New Roman" w:eastAsia="宋体" w:cs="Times New Roman"/>
                <w:color w:val="auto"/>
                <w:highlight w:val="none"/>
                <w:u w:val="single"/>
                <w:lang w:val="en-US" w:eastAsia="zh-CN"/>
              </w:rPr>
              <w:t>实验中学校塑胶运动场维修项目</w:t>
            </w:r>
            <w:r>
              <w:rPr>
                <w:rFonts w:hint="eastAsia"/>
                <w:color w:val="auto"/>
                <w:highlight w:val="none"/>
                <w:u w:val="single"/>
              </w:rPr>
              <w:t>投标保证金</w:t>
            </w:r>
            <w:r>
              <w:rPr>
                <w:rFonts w:hint="eastAsia"/>
                <w:color w:val="auto"/>
                <w:highlight w:val="none"/>
              </w:rPr>
              <w:t>。</w:t>
            </w:r>
          </w:p>
          <w:p>
            <w:pPr>
              <w:snapToGrid w:val="0"/>
              <w:spacing w:line="400" w:lineRule="exact"/>
              <w:ind w:firstLine="420" w:firstLineChars="200"/>
              <w:rPr>
                <w:color w:val="auto"/>
                <w:highlight w:val="none"/>
              </w:rPr>
            </w:pPr>
            <w:r>
              <w:rPr>
                <w:rFonts w:hint="eastAsia"/>
                <w:color w:val="auto"/>
                <w:highlight w:val="none"/>
              </w:rPr>
              <w:t>5、投标保证金有效期与投标有效期一致。</w:t>
            </w:r>
          </w:p>
          <w:p>
            <w:pPr>
              <w:snapToGrid w:val="0"/>
              <w:spacing w:line="400" w:lineRule="exact"/>
              <w:ind w:firstLine="420" w:firstLineChars="200"/>
              <w:rPr>
                <w:color w:val="auto"/>
                <w:highlight w:val="none"/>
              </w:rPr>
            </w:pPr>
            <w:r>
              <w:rPr>
                <w:rFonts w:hint="eastAsia"/>
                <w:color w:val="auto"/>
                <w:highlight w:val="none"/>
                <w:u w:val="none"/>
              </w:rPr>
              <w:t>6、</w:t>
            </w:r>
            <w:r>
              <w:rPr>
                <w:rFonts w:hint="eastAsia"/>
                <w:color w:val="auto"/>
                <w:highlight w:val="none"/>
                <w:u w:val="single"/>
              </w:rPr>
              <w:t>根据重庆市公共资源交易中心《关于开展公共资源交易市场主体信息登记工作的公告》的要求，投标人在开标前需在重庆市公共资源交易网（www.cqggzy.com）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pPr>
              <w:snapToGrid w:val="0"/>
              <w:spacing w:line="400" w:lineRule="exact"/>
              <w:ind w:firstLine="420" w:firstLineChars="200"/>
              <w:rPr>
                <w:color w:val="auto"/>
                <w:highlight w:val="none"/>
              </w:rPr>
            </w:pPr>
            <w:r>
              <w:rPr>
                <w:rFonts w:hint="eastAsia"/>
                <w:color w:val="auto"/>
                <w:highlight w:val="none"/>
              </w:rPr>
              <w:t>二、投标保证金的退还</w:t>
            </w:r>
          </w:p>
          <w:p>
            <w:pPr>
              <w:snapToGrid w:val="0"/>
              <w:spacing w:line="400" w:lineRule="exact"/>
              <w:ind w:firstLine="420" w:firstLineChars="200"/>
              <w:rPr>
                <w:color w:val="auto"/>
                <w:highlight w:val="none"/>
              </w:rPr>
            </w:pPr>
            <w:r>
              <w:rPr>
                <w:rFonts w:hint="eastAsia"/>
                <w:color w:val="auto"/>
                <w:highlight w:val="none"/>
              </w:rPr>
              <w:t>招标人应当在法定时间内确定中标人。招标人应当在中标通知书发出后2个工作日内将中标通知书和保证金退还通知抄告</w:t>
            </w:r>
            <w:r>
              <w:rPr>
                <w:rFonts w:hint="eastAsia"/>
                <w:color w:val="auto"/>
                <w:highlight w:val="none"/>
                <w:u w:val="single"/>
                <w:lang w:eastAsia="zh-CN"/>
              </w:rPr>
              <w:t>重庆市公共资源交易中心酉阳分中心</w:t>
            </w:r>
            <w:r>
              <w:rPr>
                <w:rFonts w:hint="eastAsia"/>
                <w:color w:val="auto"/>
                <w:highlight w:val="none"/>
              </w:rPr>
              <w:t>，</w:t>
            </w:r>
            <w:r>
              <w:rPr>
                <w:rFonts w:hint="eastAsia"/>
                <w:color w:val="auto"/>
                <w:highlight w:val="none"/>
                <w:u w:val="single"/>
                <w:lang w:eastAsia="zh-CN"/>
              </w:rPr>
              <w:t>重庆市公共资源交易中心酉阳分中心</w:t>
            </w:r>
            <w:r>
              <w:rPr>
                <w:rFonts w:hint="eastAsia"/>
                <w:color w:val="auto"/>
                <w:highlight w:val="none"/>
              </w:rPr>
              <w:t>在收到保证金退还通知后2个工作日内，向除中标人和中标候选人以外的投标人，退还投标保证金及银行同期活期存款利息。</w:t>
            </w:r>
          </w:p>
          <w:p>
            <w:pPr>
              <w:snapToGrid w:val="0"/>
              <w:spacing w:line="400" w:lineRule="exact"/>
              <w:ind w:firstLine="420" w:firstLineChars="200"/>
              <w:rPr>
                <w:color w:val="auto"/>
                <w:highlight w:val="none"/>
              </w:rPr>
            </w:pPr>
            <w:r>
              <w:rPr>
                <w:rFonts w:hint="eastAsia"/>
                <w:color w:val="auto"/>
                <w:highlight w:val="none"/>
              </w:rPr>
              <w:t>招标人应当在法定时间内和中标人签订合同。招标人应当在合同生效后2个工作日内将签订的合同和保证金退还通知抄告</w:t>
            </w:r>
            <w:r>
              <w:rPr>
                <w:rFonts w:hint="eastAsia"/>
                <w:color w:val="auto"/>
                <w:highlight w:val="none"/>
                <w:u w:val="single"/>
                <w:lang w:eastAsia="zh-CN"/>
              </w:rPr>
              <w:t>重庆市公共资源交易中心酉阳分中心</w:t>
            </w:r>
            <w:r>
              <w:rPr>
                <w:rFonts w:hint="eastAsia"/>
                <w:color w:val="auto"/>
                <w:highlight w:val="none"/>
              </w:rPr>
              <w:t>，</w:t>
            </w:r>
            <w:r>
              <w:rPr>
                <w:rFonts w:hint="eastAsia"/>
                <w:color w:val="auto"/>
                <w:highlight w:val="none"/>
                <w:u w:val="single"/>
                <w:lang w:eastAsia="zh-CN"/>
              </w:rPr>
              <w:t>重庆市公共资源交易中心酉阳分中心</w:t>
            </w:r>
            <w:r>
              <w:rPr>
                <w:rFonts w:hint="eastAsia"/>
                <w:color w:val="auto"/>
                <w:highlight w:val="none"/>
              </w:rPr>
              <w:t>在收到保证金退还通知后2个工作日内，向中标人和中标候选人退还投标保证金及银行同期活期存款利息。</w:t>
            </w:r>
          </w:p>
          <w:p>
            <w:pPr>
              <w:snapToGrid w:val="0"/>
              <w:spacing w:line="400" w:lineRule="exact"/>
              <w:ind w:firstLine="420" w:firstLineChars="200"/>
              <w:jc w:val="left"/>
              <w:rPr>
                <w:color w:val="auto"/>
                <w:highlight w:val="none"/>
              </w:rPr>
            </w:pPr>
            <w:r>
              <w:rPr>
                <w:rFonts w:hint="eastAsia"/>
                <w:color w:val="auto"/>
                <w:highlight w:val="none"/>
              </w:rPr>
              <w:t>投标保证金专用账户由</w:t>
            </w:r>
            <w:r>
              <w:rPr>
                <w:rFonts w:hint="eastAsia"/>
                <w:color w:val="auto"/>
                <w:highlight w:val="none"/>
                <w:u w:val="single"/>
                <w:lang w:eastAsia="zh-CN"/>
              </w:rPr>
              <w:t>重庆市公共资源交易中心酉阳分中心</w:t>
            </w:r>
            <w:r>
              <w:rPr>
                <w:rFonts w:hint="eastAsia"/>
                <w:color w:val="auto"/>
                <w:highlight w:val="none"/>
              </w:rPr>
              <w:t>制定，关于保证金相关情况的问题请咨询</w:t>
            </w:r>
            <w:r>
              <w:rPr>
                <w:rFonts w:hint="eastAsia"/>
                <w:color w:val="auto"/>
                <w:highlight w:val="none"/>
                <w:u w:val="single"/>
                <w:lang w:eastAsia="zh-CN"/>
              </w:rPr>
              <w:t>重庆市公共资源交易中心酉阳分中心</w:t>
            </w:r>
            <w:r>
              <w:rPr>
                <w:rFonts w:hint="eastAsia"/>
                <w:color w:val="auto"/>
                <w:highlight w:val="none"/>
              </w:rPr>
              <w:t>，联系电话023-</w:t>
            </w:r>
            <w:r>
              <w:rPr>
                <w:rFonts w:hint="eastAsia"/>
                <w:color w:val="auto"/>
                <w:highlight w:val="none"/>
                <w:u w:val="single"/>
              </w:rPr>
              <w:t xml:space="preserve"> 75555249</w:t>
            </w:r>
            <w:r>
              <w:rPr>
                <w:rFonts w:hint="eastAsia"/>
                <w:color w:val="auto"/>
                <w:highlight w:val="none"/>
              </w:rPr>
              <w:t>。</w:t>
            </w:r>
          </w:p>
          <w:p>
            <w:pPr>
              <w:snapToGrid w:val="0"/>
              <w:spacing w:line="400" w:lineRule="exact"/>
              <w:ind w:firstLine="420" w:firstLineChars="200"/>
              <w:rPr>
                <w:rFonts w:ascii="宋体" w:hAnsi="宋体" w:cs="MingLiU"/>
                <w:bCs/>
                <w:color w:val="auto"/>
                <w:kern w:val="0"/>
                <w:szCs w:val="21"/>
                <w:highlight w:val="none"/>
              </w:rPr>
            </w:pPr>
          </w:p>
          <w:p>
            <w:pPr>
              <w:snapToGrid w:val="0"/>
              <w:spacing w:line="400" w:lineRule="exact"/>
              <w:ind w:firstLine="420" w:firstLineChars="200"/>
              <w:rPr>
                <w:rFonts w:ascii="宋体" w:hAnsi="宋体" w:cs="MingLiU"/>
                <w:bCs/>
                <w:color w:val="auto"/>
                <w:kern w:val="0"/>
                <w:szCs w:val="21"/>
                <w:highlight w:val="none"/>
              </w:rPr>
            </w:pPr>
            <w:r>
              <w:rPr>
                <w:rFonts w:hint="eastAsia" w:ascii="宋体" w:hAnsi="宋体" w:cs="MingLiU"/>
                <w:bCs/>
                <w:color w:val="auto"/>
                <w:kern w:val="0"/>
                <w:szCs w:val="21"/>
                <w:highlight w:val="none"/>
              </w:rPr>
              <w:t>方式三</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一、</w:t>
            </w:r>
            <w:r>
              <w:rPr>
                <w:rFonts w:hint="eastAsia" w:ascii="宋体" w:hAnsi="宋体"/>
                <w:color w:val="auto"/>
                <w:kern w:val="0"/>
                <w:szCs w:val="21"/>
                <w:highlight w:val="none"/>
              </w:rPr>
              <w:t>以纸质投标保函形式交纳投标保证金</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纸质投标保函</w:t>
            </w:r>
            <w:r>
              <w:rPr>
                <w:rFonts w:ascii="宋体" w:hAnsi="宋体"/>
                <w:color w:val="auto"/>
                <w:kern w:val="0"/>
                <w:szCs w:val="21"/>
                <w:highlight w:val="none"/>
              </w:rPr>
              <w:t>交纳形式及要求：</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（1）缴纳形式：</w:t>
            </w:r>
            <w:r>
              <w:rPr>
                <w:rFonts w:hint="eastAsia" w:ascii="宋体" w:hAnsi="宋体"/>
                <w:color w:val="auto"/>
                <w:kern w:val="0"/>
                <w:szCs w:val="21"/>
                <w:highlight w:val="none"/>
              </w:rPr>
              <w:t>纸质投标保函包括银行保函、保证保险和担保保函，其示范文本详见第</w:t>
            </w:r>
            <w:r>
              <w:rPr>
                <w:rFonts w:hint="eastAsia" w:ascii="宋体" w:hAnsi="宋体"/>
                <w:color w:val="auto"/>
                <w:kern w:val="0"/>
                <w:szCs w:val="21"/>
                <w:highlight w:val="none"/>
                <w:lang w:val="en-US" w:eastAsia="zh-CN"/>
              </w:rPr>
              <w:t>八</w:t>
            </w:r>
            <w:r>
              <w:rPr>
                <w:rFonts w:hint="eastAsia" w:ascii="宋体" w:hAnsi="宋体"/>
                <w:color w:val="auto"/>
                <w:kern w:val="0"/>
                <w:szCs w:val="21"/>
                <w:highlight w:val="none"/>
              </w:rPr>
              <w:t>章投标文件格式。投标人提交的纸质投标保函应严格执行其示范文本，不得对示范文本中的实质性内容进行修改。</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（2）具体要求：</w:t>
            </w:r>
            <w:r>
              <w:rPr>
                <w:rFonts w:hint="eastAsia" w:ascii="宋体" w:hAnsi="宋体"/>
                <w:color w:val="auto"/>
                <w:kern w:val="0"/>
                <w:szCs w:val="21"/>
                <w:highlight w:val="none"/>
              </w:rPr>
              <w:t>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w:t>
            </w:r>
            <w:r>
              <w:rPr>
                <w:rFonts w:hint="eastAsia" w:ascii="宋体" w:hAnsi="宋体"/>
                <w:color w:val="auto"/>
                <w:kern w:val="0"/>
                <w:szCs w:val="21"/>
                <w:highlight w:val="none"/>
              </w:rPr>
              <w:t>须在投标文件资格审查部分“其他资料”中</w:t>
            </w:r>
            <w:r>
              <w:rPr>
                <w:rFonts w:ascii="宋体" w:hAnsi="宋体"/>
                <w:color w:val="auto"/>
                <w:kern w:val="0"/>
                <w:szCs w:val="21"/>
                <w:highlight w:val="none"/>
              </w:rPr>
              <w:t>提供</w:t>
            </w:r>
            <w:r>
              <w:rPr>
                <w:rFonts w:hint="eastAsia" w:ascii="宋体" w:hAnsi="宋体"/>
                <w:color w:val="auto"/>
                <w:kern w:val="0"/>
                <w:szCs w:val="21"/>
                <w:highlight w:val="none"/>
              </w:rPr>
              <w:t>纸质</w:t>
            </w:r>
            <w:r>
              <w:rPr>
                <w:rFonts w:ascii="宋体" w:hAnsi="宋体"/>
                <w:color w:val="auto"/>
                <w:kern w:val="0"/>
                <w:szCs w:val="21"/>
                <w:highlight w:val="none"/>
              </w:rPr>
              <w:t>投标保函</w:t>
            </w:r>
            <w:r>
              <w:rPr>
                <w:rFonts w:hint="eastAsia" w:ascii="宋体" w:hAnsi="宋体"/>
                <w:color w:val="auto"/>
                <w:kern w:val="0"/>
                <w:szCs w:val="21"/>
                <w:highlight w:val="none"/>
              </w:rPr>
              <w:t>扫描件，纸质</w:t>
            </w:r>
            <w:r>
              <w:rPr>
                <w:rFonts w:ascii="宋体" w:hAnsi="宋体"/>
                <w:color w:val="auto"/>
                <w:kern w:val="0"/>
                <w:szCs w:val="21"/>
                <w:highlight w:val="none"/>
              </w:rPr>
              <w:t>投标保函</w:t>
            </w:r>
            <w:r>
              <w:rPr>
                <w:rFonts w:hint="eastAsia" w:ascii="宋体" w:hAnsi="宋体"/>
                <w:color w:val="auto"/>
                <w:kern w:val="0"/>
                <w:szCs w:val="21"/>
                <w:highlight w:val="none"/>
              </w:rPr>
              <w:t>原件应当于投标截止时间前在开标现场递交招标人保管。</w:t>
            </w:r>
          </w:p>
          <w:p>
            <w:pPr>
              <w:snapToGrid w:val="0"/>
              <w:spacing w:line="400" w:lineRule="exact"/>
              <w:ind w:firstLine="420" w:firstLineChars="200"/>
              <w:rPr>
                <w:color w:val="auto"/>
                <w:highlight w:val="none"/>
              </w:rPr>
            </w:pPr>
            <w:r>
              <w:rPr>
                <w:rFonts w:hint="eastAsia"/>
                <w:color w:val="auto"/>
                <w:highlight w:val="none"/>
              </w:rPr>
              <w:t>若投标截止时间延期，则纸质投标保函递交的截止时间和投标截止时间保持一致。</w:t>
            </w:r>
          </w:p>
          <w:p>
            <w:pPr>
              <w:snapToGrid w:val="0"/>
              <w:spacing w:line="400" w:lineRule="exact"/>
              <w:ind w:firstLine="420" w:firstLineChars="200"/>
              <w:rPr>
                <w:color w:val="auto"/>
                <w:highlight w:val="none"/>
              </w:rPr>
            </w:pPr>
            <w:r>
              <w:rPr>
                <w:rFonts w:hint="eastAsia" w:ascii="宋体" w:hAnsi="宋体"/>
                <w:color w:val="auto"/>
                <w:kern w:val="0"/>
                <w:szCs w:val="21"/>
                <w:highlight w:val="none"/>
              </w:rPr>
              <w:t>不满足上述要求的纸质</w:t>
            </w:r>
            <w:r>
              <w:rPr>
                <w:rFonts w:ascii="宋体" w:hAnsi="宋体"/>
                <w:color w:val="auto"/>
                <w:kern w:val="0"/>
                <w:szCs w:val="21"/>
                <w:highlight w:val="none"/>
              </w:rPr>
              <w:t>投标保函无效。</w:t>
            </w:r>
          </w:p>
          <w:p>
            <w:pPr>
              <w:snapToGrid w:val="0"/>
              <w:spacing w:line="400" w:lineRule="exact"/>
              <w:ind w:firstLine="420" w:firstLineChars="200"/>
              <w:rPr>
                <w:color w:val="auto"/>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hint="eastAsia"/>
                <w:color w:val="auto"/>
                <w:highlight w:val="none"/>
              </w:rPr>
              <w:t>以纸质投标保函形式担保的</w:t>
            </w:r>
            <w:r>
              <w:rPr>
                <w:color w:val="auto"/>
                <w:highlight w:val="none"/>
              </w:rPr>
              <w:t>投标保证金的金额</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6 </w:t>
            </w:r>
            <w:r>
              <w:rPr>
                <w:rFonts w:ascii="宋体" w:hAnsi="宋体"/>
                <w:color w:val="auto"/>
                <w:kern w:val="0"/>
                <w:szCs w:val="21"/>
                <w:highlight w:val="none"/>
              </w:rPr>
              <w:t>万元整（人民币）</w:t>
            </w:r>
            <w:r>
              <w:rPr>
                <w:rFonts w:hint="eastAsia" w:ascii="宋体" w:hAnsi="宋体"/>
                <w:color w:val="auto"/>
                <w:kern w:val="0"/>
                <w:szCs w:val="21"/>
                <w:highlight w:val="none"/>
              </w:rPr>
              <w:t>，红名单</w:t>
            </w:r>
            <w:r>
              <w:rPr>
                <w:rFonts w:hint="eastAsia"/>
                <w:color w:val="auto"/>
                <w:highlight w:val="none"/>
              </w:rPr>
              <w:t>中的投标人投标保证金金额为应缴纳金额的50%；投标人是否属于红名单，以开标环节信用状况查询结果为准。</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w:t>
            </w:r>
            <w:r>
              <w:rPr>
                <w:rFonts w:ascii="宋体" w:hAnsi="宋体"/>
                <w:color w:val="auto"/>
                <w:kern w:val="0"/>
                <w:szCs w:val="21"/>
                <w:highlight w:val="none"/>
              </w:rPr>
              <w:t>投标人须</w:t>
            </w:r>
            <w:r>
              <w:rPr>
                <w:rFonts w:hint="eastAsia"/>
                <w:color w:val="auto"/>
                <w:highlight w:val="none"/>
              </w:rPr>
              <w:t>在</w:t>
            </w:r>
            <w:r>
              <w:rPr>
                <w:rFonts w:hint="eastAsia" w:ascii="宋体" w:hAnsi="宋体"/>
                <w:color w:val="auto"/>
                <w:kern w:val="0"/>
                <w:szCs w:val="21"/>
                <w:highlight w:val="none"/>
              </w:rPr>
              <w:t>纸质投标保函中注明在重庆市辖区范围内的核验地址和核验方式，并确保其递交的纸质</w:t>
            </w:r>
            <w:r>
              <w:rPr>
                <w:rFonts w:ascii="宋体" w:hAnsi="宋体"/>
                <w:color w:val="auto"/>
                <w:kern w:val="0"/>
                <w:szCs w:val="21"/>
                <w:highlight w:val="none"/>
              </w:rPr>
              <w:t>投标保函能在</w:t>
            </w:r>
            <w:r>
              <w:rPr>
                <w:rFonts w:hint="eastAsia" w:ascii="宋体" w:hAnsi="宋体"/>
                <w:color w:val="auto"/>
                <w:kern w:val="0"/>
                <w:szCs w:val="21"/>
                <w:highlight w:val="none"/>
              </w:rPr>
              <w:t>开立人在渝的总部或者分支机构进行核验。</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 投标人在开标现场递交的纸质投标保函原件应与投标文件中提供的纸质投标保函扫描件一致，否则由评标委员会作否决投标处理。</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color w:val="auto"/>
                <w:szCs w:val="21"/>
                <w:highlight w:val="none"/>
              </w:rPr>
              <w:t>已取得中标候选人资格或中标资格的投标人，按相关规定取消中标候选人资格或中标资格</w:t>
            </w:r>
            <w:r>
              <w:rPr>
                <w:rFonts w:hint="eastAsia" w:ascii="宋体" w:hAnsi="宋体"/>
                <w:color w:val="auto"/>
                <w:kern w:val="0"/>
                <w:szCs w:val="21"/>
                <w:highlight w:val="none"/>
              </w:rPr>
              <w:t>，</w:t>
            </w:r>
            <w:r>
              <w:rPr>
                <w:rFonts w:hint="eastAsia" w:ascii="宋体" w:hAnsi="宋体"/>
                <w:color w:val="auto"/>
                <w:szCs w:val="21"/>
                <w:highlight w:val="none"/>
              </w:rPr>
              <w:t>给招标人造成损失的，投标人依法承担赔偿责任。</w:t>
            </w:r>
            <w:r>
              <w:rPr>
                <w:rFonts w:hint="eastAsia" w:ascii="宋体" w:hAnsi="宋体"/>
                <w:color w:val="auto"/>
                <w:kern w:val="0"/>
                <w:szCs w:val="21"/>
                <w:highlight w:val="none"/>
              </w:rPr>
              <w:t>投标人提交的纸质投标</w:t>
            </w:r>
            <w:r>
              <w:rPr>
                <w:rFonts w:hint="eastAsia" w:ascii="宋体" w:hAnsi="宋体"/>
                <w:color w:val="auto"/>
                <w:szCs w:val="21"/>
                <w:highlight w:val="none"/>
              </w:rPr>
              <w:t>保函涉及弄虚作假或其他违法违规情形的，移送相关部门处理</w:t>
            </w:r>
            <w:r>
              <w:rPr>
                <w:rFonts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二、</w:t>
            </w:r>
            <w:r>
              <w:rPr>
                <w:rFonts w:hint="eastAsia" w:ascii="宋体" w:hAnsi="宋体"/>
                <w:color w:val="auto"/>
                <w:kern w:val="0"/>
                <w:szCs w:val="21"/>
                <w:highlight w:val="none"/>
              </w:rPr>
              <w:t>纸质</w:t>
            </w:r>
            <w:r>
              <w:rPr>
                <w:rFonts w:ascii="宋体" w:hAnsi="宋体"/>
                <w:color w:val="auto"/>
                <w:kern w:val="0"/>
                <w:szCs w:val="21"/>
                <w:highlight w:val="none"/>
              </w:rPr>
              <w:t>投标保函的</w:t>
            </w:r>
            <w:r>
              <w:rPr>
                <w:rFonts w:hint="eastAsia" w:ascii="宋体" w:hAnsi="宋体"/>
                <w:color w:val="auto"/>
                <w:kern w:val="0"/>
                <w:szCs w:val="21"/>
                <w:highlight w:val="none"/>
              </w:rPr>
              <w:t>退还、注销</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招标人应当在法定时间内确定中标人，向中标人发出中标通知书，同时向除中标候选人以外的其他投标人退还</w:t>
            </w:r>
            <w:r>
              <w:rPr>
                <w:rFonts w:hint="eastAsia" w:ascii="宋体" w:hAnsi="宋体"/>
                <w:color w:val="auto"/>
                <w:kern w:val="0"/>
                <w:szCs w:val="21"/>
                <w:highlight w:val="none"/>
              </w:rPr>
              <w:t>纸质</w:t>
            </w:r>
            <w:r>
              <w:rPr>
                <w:rFonts w:ascii="宋体" w:hAnsi="宋体"/>
                <w:color w:val="auto"/>
                <w:kern w:val="0"/>
                <w:szCs w:val="21"/>
                <w:highlight w:val="none"/>
              </w:rPr>
              <w:t>投标保函并书面通知相关</w:t>
            </w:r>
            <w:r>
              <w:rPr>
                <w:rFonts w:hint="eastAsia" w:ascii="宋体" w:hAnsi="宋体"/>
                <w:color w:val="auto"/>
                <w:kern w:val="0"/>
                <w:szCs w:val="21"/>
                <w:highlight w:val="none"/>
              </w:rPr>
              <w:t>金融机构</w:t>
            </w:r>
            <w:r>
              <w:rPr>
                <w:rFonts w:ascii="宋体" w:hAnsi="宋体"/>
                <w:color w:val="auto"/>
                <w:kern w:val="0"/>
                <w:szCs w:val="21"/>
                <w:highlight w:val="none"/>
              </w:rPr>
              <w:t>本项目准予提前注销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rPr>
              <w:t>金融机构</w:t>
            </w:r>
            <w:r>
              <w:rPr>
                <w:rFonts w:ascii="宋体" w:hAnsi="宋体"/>
                <w:color w:val="auto"/>
                <w:kern w:val="0"/>
                <w:szCs w:val="21"/>
                <w:highlight w:val="none"/>
              </w:rPr>
              <w:t>协商。</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招标人应在法定时间内和中标人</w:t>
            </w:r>
            <w:r>
              <w:rPr>
                <w:rFonts w:hint="eastAsia" w:ascii="宋体" w:hAnsi="宋体"/>
                <w:color w:val="auto"/>
                <w:kern w:val="0"/>
                <w:szCs w:val="21"/>
                <w:highlight w:val="none"/>
              </w:rPr>
              <w:t>签订</w:t>
            </w:r>
            <w:r>
              <w:rPr>
                <w:rFonts w:ascii="宋体" w:hAnsi="宋体"/>
                <w:color w:val="auto"/>
                <w:kern w:val="0"/>
                <w:szCs w:val="21"/>
                <w:highlight w:val="none"/>
              </w:rPr>
              <w:t>合同，并同时书面通知相关</w:t>
            </w:r>
            <w:r>
              <w:rPr>
                <w:rFonts w:hint="eastAsia" w:ascii="宋体" w:hAnsi="宋体"/>
                <w:color w:val="auto"/>
                <w:kern w:val="0"/>
                <w:szCs w:val="21"/>
                <w:highlight w:val="none"/>
              </w:rPr>
              <w:t>金融机构</w:t>
            </w:r>
            <w:r>
              <w:rPr>
                <w:rFonts w:ascii="宋体" w:hAnsi="宋体"/>
                <w:color w:val="auto"/>
                <w:kern w:val="0"/>
                <w:szCs w:val="21"/>
                <w:highlight w:val="none"/>
              </w:rPr>
              <w:t>向中标人和其他中标候选人注销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rPr>
              <w:t>金融机构</w:t>
            </w:r>
            <w:r>
              <w:rPr>
                <w:rFonts w:ascii="宋体" w:hAnsi="宋体"/>
                <w:color w:val="auto"/>
                <w:kern w:val="0"/>
                <w:szCs w:val="21"/>
                <w:highlight w:val="none"/>
              </w:rPr>
              <w:t>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Arial" w:hAnsi="Arial" w:cs="Arial"/>
                <w:color w:val="auto"/>
                <w:kern w:val="0"/>
                <w:szCs w:val="21"/>
                <w:highlight w:val="none"/>
              </w:rPr>
              <w:t>√</w:t>
            </w:r>
            <w:r>
              <w:rPr>
                <w:rFonts w:ascii="宋体" w:hAnsi="宋体"/>
                <w:color w:val="auto"/>
                <w:kern w:val="0"/>
                <w:szCs w:val="21"/>
                <w:highlight w:val="none"/>
              </w:rPr>
              <w:t>不允许</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口允许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比选申请文件格式要求</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编制比选申请文件时不得对第八章“比选申请文件格式”的相应要素作实质性修改，否则由评标委员会作否决投标处理。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申请文件应用不褪色的材料书写或打印，并由比选申请人的法定代表人或其委托代理人在竞争性比选文件规定的位置按竞争性比选文件要求签名或盖章、盖单位法人章。委托代理人签名的，比选申请文件应附法定代表人签署的授权委托书。比选申请文件应尽量避免涂改、行间插字或删除。如果出现上述情况，改动之处应加盖单位法人章或由比选申请人的法定代表人或其授权的代理人签名确认。</w:t>
            </w:r>
          </w:p>
          <w:p>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rPr>
              <w:t>比选申请文件</w:t>
            </w:r>
            <w:r>
              <w:rPr>
                <w:rFonts w:ascii="宋体" w:hAnsi="宋体"/>
                <w:color w:val="auto"/>
                <w:spacing w:val="-6"/>
                <w:kern w:val="0"/>
                <w:szCs w:val="21"/>
                <w:highlight w:val="none"/>
              </w:rPr>
              <w:t>的份数</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比选申请文件</w:t>
            </w:r>
            <w:r>
              <w:rPr>
                <w:rFonts w:ascii="宋体" w:hAnsi="宋体"/>
                <w:color w:val="auto"/>
                <w:kern w:val="0"/>
                <w:szCs w:val="21"/>
                <w:highlight w:val="none"/>
              </w:rPr>
              <w:t>正本</w:t>
            </w:r>
            <w:r>
              <w:rPr>
                <w:rFonts w:hint="eastAsia" w:ascii="宋体" w:hAnsi="宋体"/>
                <w:color w:val="auto"/>
                <w:kern w:val="0"/>
                <w:szCs w:val="21"/>
                <w:highlight w:val="none"/>
              </w:rPr>
              <w:t>1份、副本2份，电子版形式（光盘）1份，</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w:t>
            </w:r>
            <w:r>
              <w:rPr>
                <w:rFonts w:hint="eastAsia" w:ascii="宋体" w:hAnsi="宋体"/>
                <w:color w:val="auto"/>
                <w:kern w:val="0"/>
                <w:szCs w:val="21"/>
                <w:highlight w:val="none"/>
              </w:rPr>
              <w:t>。当副本和正本不一致时，以正本为准。否则由评标委员会作否决投标处理。</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电子版形式（光盘）中的经济部分：应包含经济部分全部excel格式预算表格，工程量清单综合单价分析表无须装订入比选申请文件纸质版中，但清单项目的综合单价分析表（excel格式）必须刻入光盘中。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本工程技术部分采用明标评审，应将</w:t>
            </w:r>
            <w:r>
              <w:rPr>
                <w:rFonts w:hint="eastAsia" w:ascii="宋体" w:hAnsi="宋体"/>
                <w:color w:val="auto"/>
                <w:szCs w:val="21"/>
                <w:highlight w:val="none"/>
              </w:rPr>
              <w:t>比选申请函</w:t>
            </w:r>
            <w:r>
              <w:rPr>
                <w:rFonts w:ascii="宋体" w:hAnsi="宋体"/>
                <w:color w:val="auto"/>
                <w:szCs w:val="21"/>
                <w:highlight w:val="none"/>
              </w:rPr>
              <w:t>部分、</w:t>
            </w:r>
            <w:r>
              <w:rPr>
                <w:rFonts w:hint="eastAsia" w:ascii="宋体" w:hAnsi="宋体"/>
                <w:color w:val="auto"/>
                <w:szCs w:val="21"/>
                <w:highlight w:val="none"/>
              </w:rPr>
              <w:t>经济</w:t>
            </w:r>
            <w:r>
              <w:rPr>
                <w:rFonts w:ascii="宋体" w:hAnsi="宋体"/>
                <w:color w:val="auto"/>
                <w:szCs w:val="21"/>
                <w:highlight w:val="none"/>
              </w:rPr>
              <w:t>部分、技术部分、</w:t>
            </w:r>
            <w:r>
              <w:rPr>
                <w:rFonts w:hint="eastAsia" w:ascii="宋体" w:hAnsi="宋体"/>
                <w:color w:val="auto"/>
                <w:szCs w:val="21"/>
                <w:highlight w:val="none"/>
              </w:rPr>
              <w:t>资格审查部分</w:t>
            </w:r>
            <w:r>
              <w:rPr>
                <w:rFonts w:ascii="宋体" w:hAnsi="宋体"/>
                <w:color w:val="auto"/>
                <w:szCs w:val="21"/>
                <w:highlight w:val="none"/>
              </w:rPr>
              <w:t>各自分别装订成册。</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装订</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比选申请函</w:t>
            </w:r>
            <w:r>
              <w:rPr>
                <w:rFonts w:ascii="宋体" w:hAnsi="宋体"/>
                <w:color w:val="auto"/>
                <w:szCs w:val="21"/>
                <w:highlight w:val="none"/>
              </w:rPr>
              <w:t>部分的装订要求</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应按照第八章规定格式装订成册，应编制目录。</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经济</w:t>
            </w:r>
            <w:r>
              <w:rPr>
                <w:rFonts w:ascii="宋体" w:hAnsi="宋体"/>
                <w:color w:val="auto"/>
                <w:szCs w:val="21"/>
                <w:highlight w:val="none"/>
              </w:rPr>
              <w:t>部分的装订要求</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应按照第八章规定格式装订成册，应编制目录。</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）技术部分的装订要求</w:t>
            </w:r>
          </w:p>
          <w:p>
            <w:pPr>
              <w:adjustRightInd w:val="0"/>
              <w:snapToGrid w:val="0"/>
              <w:spacing w:line="400" w:lineRule="exact"/>
              <w:ind w:firstLine="420" w:firstLineChars="200"/>
              <w:rPr>
                <w:rFonts w:ascii="宋体" w:hAnsi="宋体" w:cs="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技术方案</w:t>
            </w:r>
            <w:r>
              <w:rPr>
                <w:rFonts w:ascii="宋体" w:hAnsi="宋体"/>
                <w:color w:val="auto"/>
                <w:kern w:val="0"/>
                <w:szCs w:val="21"/>
                <w:highlight w:val="none"/>
              </w:rPr>
              <w:t>》面页使用A4厚型白纸面页，用初号仿宋字体</w:t>
            </w:r>
            <w:r>
              <w:rPr>
                <w:rFonts w:hint="eastAsia" w:ascii="宋体" w:hAnsi="宋体"/>
                <w:color w:val="auto"/>
                <w:kern w:val="0"/>
                <w:szCs w:val="21"/>
                <w:highlight w:val="none"/>
              </w:rPr>
              <w:t>上下左右</w:t>
            </w:r>
            <w:r>
              <w:rPr>
                <w:rFonts w:ascii="宋体" w:hAnsi="宋体"/>
                <w:color w:val="auto"/>
                <w:kern w:val="0"/>
                <w:szCs w:val="21"/>
                <w:highlight w:val="none"/>
              </w:rPr>
              <w:t>居中标明“</w:t>
            </w:r>
            <w:r>
              <w:rPr>
                <w:rFonts w:hint="eastAsia" w:ascii="宋体" w:hAnsi="宋体"/>
                <w:color w:val="auto"/>
                <w:kern w:val="0"/>
                <w:szCs w:val="21"/>
                <w:highlight w:val="none"/>
              </w:rPr>
              <w:t>技术方案</w:t>
            </w:r>
            <w:r>
              <w:rPr>
                <w:rFonts w:ascii="宋体" w:hAnsi="宋体"/>
                <w:color w:val="auto"/>
                <w:kern w:val="0"/>
                <w:szCs w:val="21"/>
                <w:highlight w:val="none"/>
              </w:rPr>
              <w:t>”</w:t>
            </w:r>
            <w:r>
              <w:rPr>
                <w:rFonts w:ascii="宋体" w:hAnsi="宋体"/>
                <w:color w:val="auto"/>
                <w:szCs w:val="21"/>
                <w:highlight w:val="none"/>
              </w:rPr>
              <w:t>，在面页右下角加盖投标单位章，按照第八章规定格式装订成册</w:t>
            </w:r>
            <w:r>
              <w:rPr>
                <w:rFonts w:hint="eastAsia" w:ascii="宋体" w:hAnsi="宋体" w:cs="宋体"/>
                <w:color w:val="auto"/>
                <w:szCs w:val="21"/>
                <w:highlight w:val="none"/>
              </w:rPr>
              <w:t>，并应编制目录。</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（技术方案原则上不超过</w:t>
            </w:r>
            <w:r>
              <w:rPr>
                <w:rFonts w:hint="eastAsia" w:ascii="宋体" w:hAnsi="宋体"/>
                <w:color w:val="auto"/>
                <w:szCs w:val="21"/>
                <w:highlight w:val="none"/>
                <w:u w:val="single"/>
              </w:rPr>
              <w:t xml:space="preserve"> 200 </w:t>
            </w:r>
            <w:r>
              <w:rPr>
                <w:rFonts w:hint="eastAsia" w:ascii="宋体" w:hAnsi="宋体"/>
                <w:color w:val="auto"/>
                <w:szCs w:val="21"/>
                <w:highlight w:val="none"/>
              </w:rPr>
              <w:t>页。）</w:t>
            </w:r>
          </w:p>
          <w:p>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应按照第八章规定格式装订成册，应编制目录</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比选申请文件</w:t>
            </w:r>
            <w:r>
              <w:rPr>
                <w:rFonts w:ascii="宋体" w:hAnsi="宋体"/>
                <w:color w:val="auto"/>
                <w:spacing w:val="-6"/>
                <w:kern w:val="0"/>
                <w:szCs w:val="21"/>
                <w:highlight w:val="none"/>
              </w:rPr>
              <w:t>的密封</w:t>
            </w:r>
          </w:p>
        </w:tc>
        <w:tc>
          <w:tcPr>
            <w:tcW w:w="6490" w:type="dxa"/>
            <w:vAlign w:val="center"/>
          </w:tcPr>
          <w:p>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比选申请文件</w:t>
            </w:r>
            <w:r>
              <w:rPr>
                <w:rFonts w:ascii="宋体" w:hAnsi="宋体"/>
                <w:color w:val="auto"/>
                <w:szCs w:val="21"/>
                <w:highlight w:val="none"/>
              </w:rPr>
              <w:t>袋使用“</w:t>
            </w:r>
            <w:r>
              <w:rPr>
                <w:rFonts w:hint="eastAsia" w:ascii="宋体" w:hAnsi="宋体"/>
                <w:color w:val="auto"/>
                <w:szCs w:val="21"/>
                <w:highlight w:val="none"/>
              </w:rPr>
              <w:t>比选申请函</w:t>
            </w:r>
            <w:r>
              <w:rPr>
                <w:rFonts w:ascii="宋体" w:hAnsi="宋体"/>
                <w:color w:val="auto"/>
                <w:szCs w:val="21"/>
                <w:highlight w:val="none"/>
              </w:rPr>
              <w:t>部分”袋、“</w:t>
            </w:r>
            <w:r>
              <w:rPr>
                <w:rFonts w:hint="eastAsia" w:ascii="宋体" w:hAnsi="宋体"/>
                <w:color w:val="auto"/>
                <w:szCs w:val="21"/>
                <w:highlight w:val="none"/>
              </w:rPr>
              <w:t>经济</w:t>
            </w:r>
            <w:r>
              <w:rPr>
                <w:rFonts w:ascii="宋体" w:hAnsi="宋体"/>
                <w:color w:val="auto"/>
                <w:szCs w:val="21"/>
                <w:highlight w:val="none"/>
              </w:rPr>
              <w:t>部分”袋、“技术部分”袋、“</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rPr>
              <w:t>比选申请文件</w:t>
            </w:r>
            <w:r>
              <w:rPr>
                <w:rFonts w:ascii="宋体" w:hAnsi="宋体"/>
                <w:color w:val="auto"/>
                <w:szCs w:val="21"/>
                <w:highlight w:val="none"/>
              </w:rPr>
              <w:t>”大袋。</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比选申请函</w:t>
            </w:r>
            <w:r>
              <w:rPr>
                <w:rFonts w:ascii="宋体" w:hAnsi="宋体"/>
                <w:color w:val="auto"/>
                <w:szCs w:val="21"/>
                <w:highlight w:val="none"/>
              </w:rPr>
              <w:t>部分</w:t>
            </w:r>
            <w:r>
              <w:rPr>
                <w:rFonts w:hint="eastAsia" w:ascii="宋体" w:hAnsi="宋体"/>
                <w:color w:val="auto"/>
                <w:szCs w:val="21"/>
                <w:highlight w:val="none"/>
              </w:rPr>
              <w:t>和电子版形式（光盘）</w:t>
            </w:r>
            <w:r>
              <w:rPr>
                <w:rFonts w:ascii="宋体" w:hAnsi="宋体"/>
                <w:color w:val="auto"/>
                <w:szCs w:val="21"/>
                <w:highlight w:val="none"/>
              </w:rPr>
              <w:t>装入“</w:t>
            </w:r>
            <w:r>
              <w:rPr>
                <w:rFonts w:hint="eastAsia" w:ascii="宋体" w:hAnsi="宋体"/>
                <w:color w:val="auto"/>
                <w:szCs w:val="21"/>
                <w:highlight w:val="none"/>
              </w:rPr>
              <w:t>比选申请函</w:t>
            </w:r>
            <w:r>
              <w:rPr>
                <w:rFonts w:ascii="宋体" w:hAnsi="宋体"/>
                <w:color w:val="auto"/>
                <w:szCs w:val="21"/>
                <w:highlight w:val="none"/>
              </w:rPr>
              <w:t>部分”袋中，密封并在袋上加盖比选申请人单位</w:t>
            </w:r>
            <w:r>
              <w:rPr>
                <w:rFonts w:hint="eastAsia" w:ascii="宋体" w:hAnsi="宋体"/>
                <w:color w:val="auto"/>
                <w:szCs w:val="21"/>
                <w:highlight w:val="none"/>
              </w:rPr>
              <w:t>法人</w:t>
            </w:r>
            <w:r>
              <w:rPr>
                <w:rFonts w:ascii="宋体" w:hAnsi="宋体"/>
                <w:color w:val="auto"/>
                <w:szCs w:val="21"/>
                <w:highlight w:val="none"/>
              </w:rPr>
              <w:t>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pacing w:val="4"/>
                <w:szCs w:val="21"/>
                <w:highlight w:val="none"/>
              </w:rPr>
              <w:t>经济</w:t>
            </w:r>
            <w:r>
              <w:rPr>
                <w:rFonts w:ascii="宋体" w:hAnsi="宋体"/>
                <w:color w:val="auto"/>
                <w:spacing w:val="4"/>
                <w:szCs w:val="21"/>
                <w:highlight w:val="none"/>
              </w:rPr>
              <w:t>部分装入“</w:t>
            </w:r>
            <w:r>
              <w:rPr>
                <w:rFonts w:hint="eastAsia" w:ascii="宋体" w:hAnsi="宋体"/>
                <w:color w:val="auto"/>
                <w:spacing w:val="4"/>
                <w:szCs w:val="21"/>
                <w:highlight w:val="none"/>
              </w:rPr>
              <w:t>经济</w:t>
            </w:r>
            <w:r>
              <w:rPr>
                <w:rFonts w:ascii="宋体" w:hAnsi="宋体"/>
                <w:color w:val="auto"/>
                <w:spacing w:val="4"/>
                <w:szCs w:val="21"/>
                <w:highlight w:val="none"/>
              </w:rPr>
              <w:t>部分”袋中，密封并在袋上加盖比选申请人单</w:t>
            </w:r>
            <w:r>
              <w:rPr>
                <w:rFonts w:ascii="宋体" w:hAnsi="宋体"/>
                <w:color w:val="auto"/>
                <w:szCs w:val="21"/>
                <w:highlight w:val="none"/>
              </w:rPr>
              <w:t>位</w:t>
            </w:r>
            <w:r>
              <w:rPr>
                <w:rFonts w:hint="eastAsia" w:ascii="宋体" w:hAnsi="宋体"/>
                <w:color w:val="auto"/>
                <w:szCs w:val="21"/>
                <w:highlight w:val="none"/>
              </w:rPr>
              <w:t>法人</w:t>
            </w:r>
            <w:r>
              <w:rPr>
                <w:rFonts w:ascii="宋体" w:hAnsi="宋体"/>
                <w:color w:val="auto"/>
                <w:szCs w:val="21"/>
                <w:highlight w:val="none"/>
              </w:rPr>
              <w:t>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本次比选技术部分采用明标评审，技术部分装入</w:t>
            </w:r>
            <w:r>
              <w:rPr>
                <w:rFonts w:hint="eastAsia" w:ascii="宋体" w:hAnsi="宋体"/>
                <w:color w:val="auto"/>
                <w:szCs w:val="21"/>
                <w:highlight w:val="none"/>
              </w:rPr>
              <w:t>“技术部分”袋中，密封</w:t>
            </w:r>
            <w:r>
              <w:rPr>
                <w:rFonts w:ascii="宋体" w:hAnsi="宋体"/>
                <w:color w:val="auto"/>
                <w:szCs w:val="21"/>
                <w:highlight w:val="none"/>
              </w:rPr>
              <w:t>并加盖比选申请人单位</w:t>
            </w:r>
            <w:r>
              <w:rPr>
                <w:rFonts w:hint="eastAsia" w:ascii="宋体" w:hAnsi="宋体"/>
                <w:color w:val="auto"/>
                <w:szCs w:val="21"/>
                <w:highlight w:val="none"/>
              </w:rPr>
              <w:t>法人</w:t>
            </w:r>
            <w:r>
              <w:rPr>
                <w:rFonts w:ascii="宋体" w:hAnsi="宋体"/>
                <w:color w:val="auto"/>
                <w:szCs w:val="21"/>
                <w:highlight w:val="none"/>
              </w:rPr>
              <w:t>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 资格审查部分装入“资格审查部分”袋中，密封并在袋上加盖比选申请人单位法人章。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rPr>
              <w:t>比选申请函</w:t>
            </w:r>
            <w:r>
              <w:rPr>
                <w:rFonts w:ascii="宋体" w:hAnsi="宋体"/>
                <w:color w:val="auto"/>
                <w:szCs w:val="21"/>
                <w:highlight w:val="none"/>
              </w:rPr>
              <w:t>部分”、“</w:t>
            </w:r>
            <w:r>
              <w:rPr>
                <w:rFonts w:hint="eastAsia" w:ascii="宋体" w:hAnsi="宋体"/>
                <w:color w:val="auto"/>
                <w:szCs w:val="21"/>
                <w:highlight w:val="none"/>
              </w:rPr>
              <w:t>经济</w:t>
            </w:r>
            <w:r>
              <w:rPr>
                <w:rFonts w:ascii="宋体" w:hAnsi="宋体"/>
                <w:color w:val="auto"/>
                <w:szCs w:val="21"/>
                <w:highlight w:val="none"/>
              </w:rPr>
              <w:t>部分”、“技术部分”</w:t>
            </w:r>
            <w:r>
              <w:rPr>
                <w:rFonts w:hint="eastAsia" w:ascii="宋体" w:hAnsi="宋体"/>
                <w:color w:val="auto"/>
                <w:szCs w:val="21"/>
                <w:highlight w:val="none"/>
              </w:rPr>
              <w:t>、“资格审查部分”</w:t>
            </w:r>
            <w:r>
              <w:rPr>
                <w:rFonts w:ascii="宋体" w:hAnsi="宋体"/>
                <w:color w:val="auto"/>
                <w:szCs w:val="21"/>
                <w:highlight w:val="none"/>
              </w:rPr>
              <w:t>等小袋装入“</w:t>
            </w:r>
            <w:r>
              <w:rPr>
                <w:rFonts w:hint="eastAsia" w:ascii="宋体" w:hAnsi="宋体"/>
                <w:color w:val="auto"/>
                <w:szCs w:val="21"/>
                <w:highlight w:val="none"/>
              </w:rPr>
              <w:t>比选申请文件</w:t>
            </w:r>
            <w:r>
              <w:rPr>
                <w:rFonts w:ascii="宋体" w:hAnsi="宋体"/>
                <w:color w:val="auto"/>
                <w:szCs w:val="21"/>
                <w:highlight w:val="none"/>
              </w:rPr>
              <w:t>”大袋中，密封并在大袋上加盖比选申请人单位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rPr>
              <w:t>比选申请文件</w:t>
            </w:r>
            <w:r>
              <w:rPr>
                <w:rFonts w:ascii="宋体" w:hAnsi="宋体"/>
                <w:color w:val="auto"/>
                <w:szCs w:val="21"/>
                <w:highlight w:val="none"/>
              </w:rPr>
              <w:t>”大袋应按本表第4.1.2项的规定写明相应内容。</w:t>
            </w:r>
            <w:r>
              <w:rPr>
                <w:rFonts w:hint="eastAsia" w:ascii="宋体" w:hAnsi="宋体"/>
                <w:color w:val="auto"/>
                <w:szCs w:val="21"/>
                <w:highlight w:val="none"/>
              </w:rPr>
              <w:t>一个大袋装不下的，可使用多个大袋分册封装。大袋未按要求密封的，比选人或代理机构将原封不动的退还其比选申请文件，且比选文件费不予退还。</w:t>
            </w:r>
          </w:p>
          <w:p>
            <w:pPr>
              <w:adjustRightInd w:val="0"/>
              <w:snapToGrid w:val="0"/>
              <w:spacing w:line="400" w:lineRule="exact"/>
              <w:ind w:firstLine="422" w:firstLineChars="200"/>
              <w:rPr>
                <w:rFonts w:ascii="宋体" w:hAnsi="宋体"/>
                <w:color w:val="auto"/>
                <w:szCs w:val="21"/>
                <w:highlight w:val="none"/>
              </w:rPr>
            </w:pPr>
            <w:r>
              <w:rPr>
                <w:rFonts w:hint="eastAsia" w:ascii="宋体" w:hAnsi="宋体" w:cs="宋体"/>
                <w:b/>
                <w:bCs/>
                <w:color w:val="auto"/>
                <w:szCs w:val="21"/>
                <w:highlight w:val="none"/>
              </w:rPr>
              <w:t>注：如比选申请文件较厚，上述各部分比选申请文件不能装入相应的一个袋中，比选申请人可按上述要求增加比选申请文件袋。所有比选申请文件袋由比选申请人自备。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rPr>
              <w:t>比选申请文件</w:t>
            </w:r>
            <w:r>
              <w:rPr>
                <w:rFonts w:ascii="宋体" w:hAnsi="宋体"/>
                <w:color w:val="auto"/>
                <w:kern w:val="0"/>
                <w:szCs w:val="21"/>
                <w:highlight w:val="none"/>
              </w:rPr>
              <w:t>”大袋封套上写明比选人名称</w:t>
            </w:r>
            <w:r>
              <w:rPr>
                <w:rFonts w:hint="eastAsia" w:ascii="宋体" w:hAnsi="宋体"/>
                <w:color w:val="auto"/>
                <w:kern w:val="0"/>
                <w:szCs w:val="21"/>
                <w:highlight w:val="none"/>
              </w:rPr>
              <w:t>及</w:t>
            </w:r>
            <w:r>
              <w:rPr>
                <w:rFonts w:ascii="宋体" w:hAnsi="宋体"/>
                <w:color w:val="auto"/>
                <w:kern w:val="0"/>
                <w:szCs w:val="21"/>
                <w:highlight w:val="none"/>
              </w:rPr>
              <w:t>如下内容：</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比选人</w:t>
            </w:r>
            <w:r>
              <w:rPr>
                <w:rFonts w:hint="eastAsia" w:ascii="宋体" w:hAnsi="宋体"/>
                <w:color w:val="auto"/>
                <w:kern w:val="0"/>
                <w:szCs w:val="21"/>
                <w:highlight w:val="none"/>
              </w:rPr>
              <w:t>地址</w:t>
            </w:r>
            <w:r>
              <w:rPr>
                <w:rFonts w:ascii="宋体" w:hAnsi="宋体"/>
                <w:color w:val="auto"/>
                <w:kern w:val="0"/>
                <w:szCs w:val="21"/>
                <w:highlight w:val="none"/>
              </w:rPr>
              <w:t>：</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比选申请人名称：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rPr>
              <w:t>比选申请文件</w:t>
            </w:r>
          </w:p>
          <w:p>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rPr>
              <w:t>比选申请文件</w:t>
            </w:r>
            <w:r>
              <w:rPr>
                <w:rFonts w:ascii="宋体" w:hAnsi="宋体"/>
                <w:color w:val="auto"/>
                <w:kern w:val="0"/>
                <w:szCs w:val="21"/>
                <w:highlight w:val="none"/>
              </w:rPr>
              <w:t>地点</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重庆市公共资源交易中心酉阳分中心</w:t>
            </w:r>
            <w:r>
              <w:rPr>
                <w:rFonts w:hint="eastAsia" w:ascii="宋体" w:hAnsi="宋体"/>
                <w:color w:val="auto"/>
                <w:kern w:val="0"/>
                <w:szCs w:val="21"/>
                <w:highlight w:val="none"/>
              </w:rPr>
              <w:t>开标室（具体请登陆重庆市公共资源交易网（酉阳县）（https://www.cqggzy.com/youyangweb/）查询或递交文件）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rPr>
              <w:t>比选申请文件</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否</w:t>
            </w:r>
          </w:p>
          <w:p>
            <w:pPr>
              <w:snapToGrid w:val="0"/>
              <w:spacing w:after="31" w:afterLines="1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开标时间</w:t>
            </w:r>
            <w:r>
              <w:rPr>
                <w:rFonts w:ascii="宋体" w:hAnsi="宋体"/>
                <w:color w:val="auto"/>
                <w:kern w:val="0"/>
                <w:szCs w:val="21"/>
                <w:highlight w:val="none"/>
              </w:rPr>
              <w:t>和</w:t>
            </w: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开标时间</w:t>
            </w:r>
            <w:r>
              <w:rPr>
                <w:rFonts w:ascii="宋体" w:hAnsi="宋体"/>
                <w:color w:val="auto"/>
                <w:kern w:val="0"/>
                <w:szCs w:val="21"/>
                <w:highlight w:val="none"/>
              </w:rPr>
              <w:t>：同投标截止时间</w:t>
            </w:r>
          </w:p>
          <w:p>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color w:val="auto"/>
                <w:szCs w:val="21"/>
                <w:highlight w:val="none"/>
                <w:lang w:eastAsia="zh-CN"/>
              </w:rPr>
              <w:t>重庆市公共资源交易中心酉阳分中心</w:t>
            </w:r>
            <w:r>
              <w:rPr>
                <w:rFonts w:hint="eastAsia" w:ascii="宋体" w:hAnsi="宋体"/>
                <w:color w:val="auto"/>
                <w:szCs w:val="21"/>
                <w:highlight w:val="none"/>
              </w:rPr>
              <w:t>开标室（具体请登陆重庆市公共资源交易网（酉阳县）（https://www.cqggzy.com/youyangweb/）查询或递交文件）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主持人按下列程序进行开标：</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 宣布比选纪律；</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 宣布比选人、唱标人、记录人、监标人等有关人员姓名；</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公布在比选申请截止时间前递交比选申请文件的比选申请人名称，并点名确认比选申请人是否派人到场；</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 核验参加比选会议的比选申请人的法定代表人或委托代理人本人身份证（原件），委托代理人必须为本单位人员，（至少提供社保局出具的</w:t>
            </w:r>
            <w:r>
              <w:rPr>
                <w:rFonts w:hint="eastAsia" w:ascii="宋体" w:hAnsi="宋体"/>
                <w:color w:val="auto"/>
                <w:kern w:val="0"/>
                <w:szCs w:val="21"/>
                <w:highlight w:val="none"/>
                <w:lang w:eastAsia="zh-CN"/>
              </w:rPr>
              <w:t>2023年3月至2023年8月</w:t>
            </w:r>
            <w:r>
              <w:rPr>
                <w:rFonts w:hint="eastAsia" w:ascii="宋体" w:hAnsi="宋体"/>
                <w:color w:val="auto"/>
                <w:kern w:val="0"/>
                <w:szCs w:val="21"/>
                <w:highlight w:val="none"/>
              </w:rPr>
              <w:t>的连续缴纳的社保证明，证明中必须有相应人员的身份证号码和社保个人编码，以便查询）的复印件。必须一人一份，含身份证号、社保号和网址和参保基本情况、参保缴费明细，否则当场退还比选申请文件。比选申请人提供的社会保险参保证明必须具有验证码及验证网址，便于比选人及相关部门进行核验，否则不予认定。没有验证码及验证网址（或无效验证码及验证网址）否则当场退还比选申请文件。事业单位可提供社保证明或行政主管部门在编证明。或按【重庆市人力资源和社会保障局关于社会保险参保证明有关事宜的通知（ 渝人社发〔2015〕107号）】文件要求，否则当场退还比选申请文件；</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入渝的市外施工企业提供本单位已纳入市城乡建委“市外建筑施工企业入渝信息库”信息的网上截图的证明到比选现场，否则，比选人当场退还比选申请文件；</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比选申请人需对提供的原件列出详细清单，且标注出原件总数，比选现场由工作人员核验原件实际数量是否与清单标注数量一致，如不一致则以实际提供的原件数量为准，并记录且由授权委托人签字确认后交评审委员会；</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6. 封装情况检查：比选申请人或者其推选的代表检查各比选申请文件的封装情况并确认；</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7.展示比选申请保证金缴款情况，汇总打印所有比选申请人的投标保证金缴纳情況，比选人代表、监标人、记录人在保证金缴纳情況一览表上签字确认；</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8.设有竞争性比选控制价或者标底的，公布竞争性比选控制价或者标底；</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9. 按照随机顺序当众比选，随机开启比选申请文件大袋及相应小袋；公布比选申请人名称、项目名称、比选申请报价、质量目标、工期及其他内容，并记录在案；</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10. 比选申请人代表、比选人代表、监标人、记录人等有关人员在比选记录上签字确认；</w:t>
            </w:r>
          </w:p>
          <w:p>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11. 比选结束。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评审委员会构成：3人</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评审专家确定方式：比选人业主专家1名，在重庆市综合评标专家库抽取2名。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olor w:val="auto"/>
                <w:kern w:val="0"/>
                <w:szCs w:val="21"/>
                <w:highlight w:val="none"/>
              </w:rPr>
              <w:t>中选结果按相关法律法规的规定在酉阳县政府门户网站或重庆市公共资源交易网（酉阳县）公示二日。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pPr>
              <w:autoSpaceDE w:val="0"/>
              <w:autoSpaceDN w:val="0"/>
              <w:spacing w:line="400" w:lineRule="exact"/>
              <w:ind w:right="-20"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1.担保形式：</w:t>
            </w:r>
            <w:r>
              <w:rPr>
                <w:rFonts w:hint="eastAsia" w:ascii="宋体" w:hAnsi="宋体" w:cs="宋体"/>
                <w:color w:val="auto"/>
                <w:kern w:val="0"/>
                <w:szCs w:val="21"/>
                <w:highlight w:val="none"/>
              </w:rPr>
              <w:t>现金或银行保函或现金+银行保函的组合；采用保函形式的，保函必须为不可撤销且见索即付。</w:t>
            </w:r>
          </w:p>
          <w:p>
            <w:pPr>
              <w:autoSpaceDE w:val="0"/>
              <w:autoSpaceDN w:val="0"/>
              <w:spacing w:line="400" w:lineRule="exact"/>
              <w:ind w:right="-20"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2.担保金额：中选合同价的10%。</w:t>
            </w:r>
          </w:p>
          <w:p>
            <w:pPr>
              <w:autoSpaceDE w:val="0"/>
              <w:autoSpaceDN w:val="0"/>
              <w:spacing w:line="400" w:lineRule="exact"/>
              <w:ind w:right="-20" w:firstLine="420" w:firstLineChars="200"/>
              <w:jc w:val="left"/>
              <w:rPr>
                <w:rFonts w:ascii="宋体" w:hAnsi="宋体" w:cs="宋体"/>
                <w:color w:val="auto"/>
                <w:szCs w:val="21"/>
                <w:highlight w:val="none"/>
              </w:rPr>
            </w:pPr>
            <w:r>
              <w:rPr>
                <w:rFonts w:hint="eastAsia" w:ascii="宋体" w:hAnsi="宋体" w:cs="宋体"/>
                <w:color w:val="auto"/>
                <w:szCs w:val="21"/>
                <w:highlight w:val="none"/>
              </w:rPr>
              <w:t>3.提交时间：中选人收到中选通知书后10日内递交给比选人。未按约定时间办理的，比选人有权取消其中选资格并不予退还其比选申请保证金。</w:t>
            </w:r>
          </w:p>
          <w:p>
            <w:pPr>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szCs w:val="21"/>
                <w:highlight w:val="none"/>
              </w:rPr>
              <w:t>4.履约担保金退还方式：采用现金担保的，工程竣工验收合格后十日内一次性退还；采用银行保函的，工程竣工验收合格后十日内退还。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重新比选</w:t>
            </w:r>
            <w:r>
              <w:rPr>
                <w:rFonts w:hint="eastAsia" w:ascii="宋体" w:hAnsi="宋体"/>
                <w:color w:val="auto"/>
                <w:kern w:val="0"/>
                <w:szCs w:val="21"/>
                <w:highlight w:val="none"/>
              </w:rPr>
              <w:t>的情形</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1.按比选申请人须知第8.1（1）执行；</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2.按比选申请人须知第8.1（2）执行；</w:t>
            </w:r>
          </w:p>
          <w:p>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按比选申请人须知第8.1（3）执行；</w:t>
            </w:r>
          </w:p>
          <w:p>
            <w:pPr>
              <w:widowControl/>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按比选申请人须知第8.1（4）执行</w:t>
            </w:r>
            <w:r>
              <w:rPr>
                <w:rFonts w:hint="eastAsia" w:ascii="宋体" w:hAnsi="宋体"/>
                <w:color w:val="auto"/>
                <w:kern w:val="0"/>
                <w:szCs w:val="21"/>
                <w:highlight w:val="none"/>
              </w:rPr>
              <w:t>。</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注：本款只适用于首次比选。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pPr>
              <w:snapToGrid w:val="0"/>
              <w:spacing w:line="400" w:lineRule="exact"/>
              <w:jc w:val="center"/>
              <w:rPr>
                <w:color w:val="auto"/>
                <w:highlight w:val="none"/>
              </w:rPr>
            </w:pPr>
            <w:bookmarkStart w:id="111" w:name="_Toc13210670"/>
            <w:bookmarkStart w:id="112" w:name="_Toc16930431"/>
            <w:bookmarkStart w:id="113" w:name="_Toc430530434"/>
            <w:bookmarkStart w:id="114" w:name="_Toc536628250"/>
            <w:bookmarkStart w:id="115" w:name="_Toc509218709"/>
            <w:r>
              <w:rPr>
                <w:rFonts w:hint="eastAsia" w:ascii="宋体" w:hAnsi="宋体"/>
                <w:color w:val="auto"/>
                <w:kern w:val="0"/>
                <w:szCs w:val="21"/>
                <w:highlight w:val="none"/>
              </w:rPr>
              <w:t>重新</w:t>
            </w:r>
            <w:r>
              <w:rPr>
                <w:rFonts w:ascii="宋体" w:hAnsi="宋体"/>
                <w:color w:val="auto"/>
                <w:kern w:val="0"/>
                <w:szCs w:val="21"/>
                <w:highlight w:val="none"/>
              </w:rPr>
              <w:t>比选和不再比选</w:t>
            </w:r>
            <w:bookmarkEnd w:id="111"/>
            <w:bookmarkEnd w:id="112"/>
            <w:bookmarkEnd w:id="113"/>
            <w:bookmarkEnd w:id="114"/>
            <w:bookmarkEnd w:id="115"/>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比选的比选申请人仍然少于三个的，按照比选投标法律法规规定的程序开标和评标。重新比选经评审有有效比选申请人的，应当依法确定中标候选人；无有效比选申请人的，可以不再进行比选，但是按照国家有关规定需要履行审批、核准、备案手续的依法必须进行比选的项目，应当报原项目投资主管部门审批、核准、备案</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jc w:val="center"/>
              <w:rPr>
                <w:rFonts w:ascii="宋体" w:hAnsi="宋体"/>
                <w:color w:val="auto"/>
                <w:kern w:val="0"/>
                <w:szCs w:val="21"/>
                <w:highlight w:val="none"/>
              </w:rPr>
            </w:pPr>
            <w:r>
              <w:rPr>
                <w:rFonts w:hint="eastAsia" w:ascii="宋体" w:hAnsi="宋体" w:cs="宋体"/>
                <w:color w:val="auto"/>
                <w:szCs w:val="21"/>
                <w:highlight w:val="none"/>
              </w:rPr>
              <w:t>10.1</w:t>
            </w:r>
          </w:p>
        </w:tc>
        <w:tc>
          <w:tcPr>
            <w:tcW w:w="1644" w:type="dxa"/>
            <w:vAlign w:val="center"/>
          </w:tcPr>
          <w:p>
            <w:pPr>
              <w:snapToGrid w:val="0"/>
              <w:spacing w:line="360" w:lineRule="auto"/>
              <w:jc w:val="center"/>
              <w:rPr>
                <w:rFonts w:ascii="宋体" w:hAnsi="宋体"/>
                <w:color w:val="auto"/>
                <w:kern w:val="0"/>
                <w:szCs w:val="21"/>
                <w:highlight w:val="none"/>
              </w:rPr>
            </w:pPr>
            <w:r>
              <w:rPr>
                <w:rFonts w:hint="eastAsia" w:ascii="宋体" w:hAnsi="宋体" w:cs="宋体"/>
                <w:color w:val="auto"/>
                <w:szCs w:val="21"/>
                <w:highlight w:val="none"/>
              </w:rPr>
              <w:t>工程款支付</w:t>
            </w:r>
          </w:p>
        </w:tc>
        <w:tc>
          <w:tcPr>
            <w:tcW w:w="6490" w:type="dxa"/>
            <w:vAlign w:val="center"/>
          </w:tcPr>
          <w:p>
            <w:pPr>
              <w:widowControl/>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（1）工程进入实质性施工后支付至合同金额的40%；在项目交工验收合格后支付至合同金额的80%；提供完整的交工资料后经审计部门审计并提供审计报告支付至审定金额的97%，余3%作质保金。</w:t>
            </w:r>
          </w:p>
          <w:p>
            <w:pPr>
              <w:widowControl/>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质保金的支付方法：结算经审核单位审计完成、缺陷责任期满及质量缺陷整改完毕达到国家有关验收标准和接收单位要求并移交接收单位后一个月内无息退还质保金。</w:t>
            </w:r>
          </w:p>
          <w:p>
            <w:pPr>
              <w:widowControl/>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2）施工总承包企业设立工资专用账户、办理工资卡及委托银行代发工资。以工程进度款25%作为人工费（工资款），由建设单位单独拨付至施工总承包企业的工资专用账户对应项目中（若人工费数额大于工程进度款的25%时，按实际人工费数额拨付；若人工费数额小于工程进度款的25%时，按工程进度款的25%拨付）。</w:t>
            </w:r>
          </w:p>
          <w:p>
            <w:pPr>
              <w:widowControl/>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（3）关于增值税发票要求：</w:t>
            </w:r>
          </w:p>
          <w:p>
            <w:pPr>
              <w:widowControl/>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①进度款支付需承包人取得合规的增值税发票后才支付工程款，如开票方开具的发票不规范、不合法或涉嫌虚开，开票方不仅要承担赔偿责任，而且必须明确不能免除其开具合法发票的义务。</w:t>
            </w:r>
          </w:p>
          <w:p>
            <w:pPr>
              <w:widowControl/>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②承包人开具增值税发票的，应在发票开具后最迟60天内送达发包人，如逾期送达导致对方损失的，按相应的违约赔偿责任。</w:t>
            </w:r>
          </w:p>
          <w:p>
            <w:pPr>
              <w:widowControl/>
              <w:snapToGrid w:val="0"/>
              <w:spacing w:line="360" w:lineRule="auto"/>
              <w:ind w:firstLine="420" w:firstLineChars="200"/>
              <w:jc w:val="left"/>
              <w:rPr>
                <w:rFonts w:ascii="宋体" w:hAnsi="宋体"/>
                <w:color w:val="auto"/>
                <w:kern w:val="0"/>
                <w:szCs w:val="21"/>
                <w:highlight w:val="none"/>
              </w:rPr>
            </w:pPr>
            <w:r>
              <w:rPr>
                <w:rFonts w:hint="eastAsia" w:ascii="宋体" w:hAnsi="宋体" w:cs="宋体"/>
                <w:color w:val="auto"/>
                <w:szCs w:val="21"/>
                <w:highlight w:val="none"/>
              </w:rPr>
              <w:t>质保金的支付方法：结算经审核单位审计完成、缺陷责任期满及质量缺陷整改完毕达到国家有关验收标准和接收单位要求并移交接收单位后一个月内无息退还质保金。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r>
              <w:rPr>
                <w:rFonts w:hint="eastAsia" w:ascii="宋体" w:hAnsi="宋体"/>
                <w:color w:val="auto"/>
                <w:kern w:val="0"/>
                <w:szCs w:val="21"/>
                <w:highlight w:val="none"/>
              </w:rPr>
              <w:t>2</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1.比选申请人或者其他利害关系人就本项目的评审结果等事项提出异议或或投诉，应当先向比选人提出异议；比选人应当在规定时间内答复；对比选人的答复不满意，或比选人未答复的，可向行政监督部门投诉。</w:t>
            </w:r>
          </w:p>
          <w:p>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行政监督部门依照《招标投标法》、《招标投标法实施条例》、《重庆市招标投标条例》、《工程建设项目招标投标活动投诉处理办法》（七部委令第11号（根据九部门2013年第23号令修正））、《重庆市招标投标活动投诉处理实施细则》（渝发改标[2014]1168号）等法律法规文件处理投诉。</w:t>
            </w:r>
          </w:p>
          <w:p>
            <w:pPr>
              <w:autoSpaceDE w:val="0"/>
              <w:autoSpaceDN w:val="0"/>
              <w:adjustRightInd w:val="0"/>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snapToGrid w:val="0"/>
                <w:color w:val="auto"/>
                <w:kern w:val="0"/>
                <w:szCs w:val="21"/>
                <w:highlight w:val="none"/>
              </w:rPr>
              <w:t>3.投诉人捏造事实、伪造材料或者以非法手段取得证明材料进行投诉的，应当予以驳回；给他人造成损失的，依法承担赔偿及法律责任。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10.3</w:t>
            </w:r>
          </w:p>
        </w:tc>
        <w:tc>
          <w:tcPr>
            <w:tcW w:w="1644" w:type="dxa"/>
            <w:vAlign w:val="center"/>
          </w:tcPr>
          <w:p>
            <w:pPr>
              <w:autoSpaceDE w:val="0"/>
              <w:autoSpaceDN w:val="0"/>
              <w:adjustRightInd w:val="0"/>
              <w:snapToGrid w:val="0"/>
              <w:spacing w:after="62" w:afterLines="20" w:line="400" w:lineRule="exact"/>
              <w:rPr>
                <w:rFonts w:ascii="宋体" w:hAnsi="宋体"/>
                <w:snapToGrid w:val="0"/>
                <w:color w:val="auto"/>
                <w:kern w:val="0"/>
                <w:szCs w:val="21"/>
                <w:highlight w:val="none"/>
              </w:rPr>
            </w:pPr>
            <w:r>
              <w:rPr>
                <w:rFonts w:hint="eastAsia" w:ascii="宋体" w:hAnsi="宋体"/>
                <w:snapToGrid w:val="0"/>
                <w:color w:val="auto"/>
                <w:kern w:val="0"/>
                <w:szCs w:val="21"/>
                <w:highlight w:val="none"/>
              </w:rPr>
              <w:t>平安卡管理制度</w:t>
            </w:r>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按重庆市住建委《关于印发建筑业从业人员平安卡管理制度实施方案（试行）的通知》（建设单位按渝建发〔2013〕65号）文件精神要求：</w:t>
            </w:r>
          </w:p>
          <w:p>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（一）建设单位应将实施平安卡管理系统纳入竞争性比选文件和工程合同，并在项目开工前按规定拨付安全生产与文明施工措施费，督促施工单位建立平安卡管理系统。</w:t>
            </w:r>
          </w:p>
          <w:p>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（二）施工单位应积极主动推行平安卡管理制度，指导、督促项目部实施平安卡管理系统，并运用平安卡管理系统加强对施工现场的管理。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pPr>
              <w:snapToGrid w:val="0"/>
              <w:spacing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目在实施过程中，中选人必须执行《重庆市城乡建设委员会、中国人民银行重庆营业管理部、中国银行业监督管理委员会重庆监管局关于建筑领域实施农民工工资专用账户管理及银行代发制度（试行）的通知》（渝建发〔2017〕13号）及《关于建筑领域农民工工资专户管理网络系统正式运行有关事宜的通知》，实行农民工工资专用账户管理及银行代发制度，填报相应的网络管理系统。</w:t>
            </w:r>
          </w:p>
          <w:p>
            <w:pPr>
              <w:snapToGrid w:val="0"/>
              <w:spacing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比选申请人中选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10.5</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p>
            <w:pPr>
              <w:snapToGrid w:val="0"/>
              <w:spacing w:line="400" w:lineRule="exact"/>
              <w:jc w:val="center"/>
              <w:rPr>
                <w:rFonts w:ascii="宋体" w:hAnsi="宋体"/>
                <w:color w:val="auto"/>
                <w:kern w:val="0"/>
                <w:szCs w:val="21"/>
                <w:highlight w:val="none"/>
              </w:rPr>
            </w:pP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1、低价风险担保：中标价低于最高限价的85%时提供，如不按时足额提供，视为中标人放弃中标，比选人有权不退还其投标保证金，</w:t>
            </w:r>
            <w:r>
              <w:rPr>
                <w:rFonts w:hint="eastAsia"/>
                <w:color w:val="auto"/>
                <w:highlight w:val="none"/>
              </w:rPr>
              <w:t>并报比选投标行政监督部门按照信用管理办法的规定处理，对中标人的不良行为直接记12分，纳入重点关注名单。若比选申请人为联合体，由联合体牵头人或按照联合体协议的约定提交低价风险担保</w:t>
            </w:r>
            <w:r>
              <w:rPr>
                <w:rFonts w:hint="eastAsia" w:ascii="宋体" w:hAnsi="宋体"/>
                <w:color w:val="auto"/>
                <w:kern w:val="0"/>
                <w:szCs w:val="21"/>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2、中标人提供低价风险担保的形式、金额及期限：</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eastAsia" w:ascii="宋体" w:hAnsi="宋体"/>
                <w:color w:val="auto"/>
                <w:kern w:val="0"/>
                <w:szCs w:val="21"/>
                <w:highlight w:val="none"/>
              </w:rPr>
              <w:t>）低价风险担保的形式：现金或银行保函</w:t>
            </w:r>
            <w:r>
              <w:rPr>
                <w:rFonts w:hint="eastAsia"/>
                <w:color w:val="auto"/>
                <w:highlight w:val="none"/>
              </w:rPr>
              <w:t>或现金+银行保函的组合；采用银行保函形式的，保函必须为不可撤销、不可转让且见索即付的独立保函，保函格式详见第四章合同条款及格式附件，中标人出具保函时，</w:t>
            </w:r>
            <w:r>
              <w:rPr>
                <w:rFonts w:hint="eastAsia" w:ascii="宋体" w:hAnsi="宋体"/>
                <w:color w:val="auto"/>
                <w:szCs w:val="21"/>
                <w:highlight w:val="none"/>
              </w:rPr>
              <w:t>不得修改“低价风险担保保函”名称，也不得对低价风险担保保函示范文本中付款条件等实质性内容进行修改，否则视为不符合竞争性比选文件规定</w:t>
            </w:r>
            <w:r>
              <w:rPr>
                <w:rFonts w:hint="eastAsia" w:ascii="宋体" w:hAnsi="宋体"/>
                <w:color w:val="auto"/>
                <w:kern w:val="0"/>
                <w:szCs w:val="21"/>
                <w:highlight w:val="none"/>
              </w:rPr>
              <w:t>。</w:t>
            </w:r>
          </w:p>
          <w:p>
            <w:pPr>
              <w:autoSpaceDE w:val="0"/>
              <w:autoSpaceDN w:val="0"/>
              <w:adjustRightInd w:val="0"/>
              <w:snapToGrid w:val="0"/>
              <w:spacing w:line="400" w:lineRule="exact"/>
              <w:ind w:firstLine="420" w:firstLineChars="200"/>
              <w:rPr>
                <w:color w:val="auto"/>
                <w:highlight w:val="none"/>
              </w:rPr>
            </w:pP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）低价风险担保的金额：（最高限价×</w:t>
            </w:r>
            <w:r>
              <w:rPr>
                <w:rFonts w:ascii="宋体" w:hAnsi="宋体"/>
                <w:color w:val="auto"/>
                <w:kern w:val="0"/>
                <w:szCs w:val="21"/>
                <w:highlight w:val="none"/>
              </w:rPr>
              <w:t>85%-</w:t>
            </w:r>
            <w:r>
              <w:rPr>
                <w:rFonts w:hint="eastAsia" w:ascii="宋体" w:hAnsi="宋体"/>
                <w:color w:val="auto"/>
                <w:kern w:val="0"/>
                <w:szCs w:val="21"/>
                <w:highlight w:val="none"/>
              </w:rPr>
              <w:t>中标价）×□1□2☑3</w:t>
            </w:r>
            <w:r>
              <w:rPr>
                <w:rStyle w:val="60"/>
                <w:rFonts w:hint="eastAsia"/>
                <w:color w:val="auto"/>
                <w:highlight w:val="none"/>
              </w:rPr>
              <w:t>，</w:t>
            </w:r>
            <w:r>
              <w:rPr>
                <w:rStyle w:val="60"/>
                <w:color w:val="auto"/>
                <w:highlight w:val="none"/>
              </w:rPr>
              <w:t>且最高不超过最高限价的85%</w:t>
            </w:r>
            <w:r>
              <w:rPr>
                <w:rStyle w:val="60"/>
                <w:rFonts w:hint="eastAsia"/>
                <w:color w:val="auto"/>
                <w:highlight w:val="none"/>
              </w:rPr>
              <w:t>，</w:t>
            </w:r>
            <w:r>
              <w:rPr>
                <w:rFonts w:hint="eastAsia"/>
                <w:color w:val="auto"/>
                <w:highlight w:val="none"/>
              </w:rPr>
              <w:t>红名单中的中标人低价风险担保金额为应提交金额的</w:t>
            </w:r>
            <w:r>
              <w:rPr>
                <w:rFonts w:hint="eastAsia"/>
                <w:color w:val="auto"/>
                <w:highlight w:val="none"/>
                <w:u w:val="single"/>
              </w:rPr>
              <w:t xml:space="preserve"> 50% </w:t>
            </w:r>
            <w:r>
              <w:rPr>
                <w:rFonts w:hint="eastAsia"/>
                <w:color w:val="auto"/>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）低价风险担保送达比选人的时间：</w:t>
            </w:r>
            <w:r>
              <w:rPr>
                <w:rFonts w:hint="eastAsia"/>
                <w:color w:val="auto"/>
                <w:szCs w:val="21"/>
                <w:highlight w:val="none"/>
              </w:rPr>
              <w:t>从比选人中标通知书送达中标候选人之日起</w:t>
            </w:r>
            <w:r>
              <w:rPr>
                <w:rFonts w:hint="eastAsia"/>
                <w:color w:val="auto"/>
                <w:szCs w:val="21"/>
                <w:highlight w:val="none"/>
                <w:u w:val="single"/>
              </w:rPr>
              <w:t xml:space="preserve"> 10个</w:t>
            </w:r>
            <w:r>
              <w:rPr>
                <w:rFonts w:hint="eastAsia"/>
                <w:color w:val="auto"/>
                <w:szCs w:val="21"/>
                <w:highlight w:val="none"/>
              </w:rPr>
              <w:t>工作日内</w:t>
            </w:r>
            <w:r>
              <w:rPr>
                <w:rFonts w:hint="eastAsia" w:ascii="宋体" w:hAnsi="宋体"/>
                <w:color w:val="auto"/>
                <w:kern w:val="0"/>
                <w:szCs w:val="21"/>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（4）中标人因自身原因未按中标通知书规定的时限与比选人签订合同的，比选人有权扣除其低价风险担保并取消中标资格。</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（5）低价风险担保的期限：</w:t>
            </w:r>
            <w:r>
              <w:rPr>
                <w:rFonts w:hint="eastAsia" w:ascii="宋体" w:hAnsi="宋体"/>
                <w:color w:val="auto"/>
                <w:kern w:val="0"/>
                <w:szCs w:val="21"/>
                <w:highlight w:val="none"/>
                <w:u w:val="single"/>
              </w:rPr>
              <w:t>自低价风险担保生效之日起至竣工验收合格之日止</w:t>
            </w:r>
            <w:r>
              <w:rPr>
                <w:rFonts w:hint="eastAsia" w:ascii="宋体" w:hAnsi="宋体"/>
                <w:color w:val="auto"/>
                <w:kern w:val="0"/>
                <w:szCs w:val="21"/>
                <w:highlight w:val="none"/>
              </w:rPr>
              <w:t>。</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3、低价风险担保的退还时间：见专用合同条款。</w:t>
            </w:r>
          </w:p>
          <w:p>
            <w:pPr>
              <w:widowControl/>
              <w:spacing w:line="400" w:lineRule="exact"/>
              <w:ind w:firstLine="420" w:firstLineChars="200"/>
              <w:rPr>
                <w:rFonts w:ascii="宋体" w:hAnsi="宋体"/>
                <w:color w:val="auto"/>
                <w:highlight w:val="none"/>
              </w:rPr>
            </w:pPr>
            <w:r>
              <w:rPr>
                <w:rFonts w:hint="eastAsia" w:ascii="宋体" w:hAnsi="宋体"/>
                <w:color w:val="auto"/>
                <w:highlight w:val="none"/>
              </w:rPr>
              <w:t>4、采用经评审最低投标价法的项目，拟中标人或者中标人放弃中标项目，无正当理由不与比选人签订合同，在签订合同时向比选人提出附加条件或者更改合同实质性内容，或者拒不按照竞争性比选文件规定提交低价风险担保或履约担保的，取消其中标资格，投标保证金不予退还，给比选人造成的损失超过投标保证金数额的，拟中标人或中标人应对超过部分予以赔偿。</w:t>
            </w:r>
          </w:p>
          <w:p>
            <w:pPr>
              <w:pStyle w:val="2"/>
              <w:widowControl/>
              <w:spacing w:after="0" w:line="440" w:lineRule="exact"/>
              <w:ind w:firstLine="420" w:firstLineChars="200"/>
              <w:rPr>
                <w:rFonts w:ascii="宋体" w:hAnsi="宋体"/>
                <w:color w:val="auto"/>
                <w:highlight w:val="none"/>
              </w:rPr>
            </w:pPr>
            <w:r>
              <w:rPr>
                <w:rFonts w:hint="eastAsia"/>
                <w:color w:val="auto"/>
                <w:highlight w:val="none"/>
              </w:rPr>
              <w:t>备注：当中标人或拟中标人未按时提交低价风险担保，且属于可以延长低价风险担保提交期限的特殊情形时，经比选人同意，可适当延长低价风险担保的提交期限。</w:t>
            </w:r>
          </w:p>
          <w:p>
            <w:pPr>
              <w:widowControl/>
              <w:spacing w:line="440" w:lineRule="exact"/>
              <w:ind w:firstLine="420" w:firstLineChars="200"/>
              <w:rPr>
                <w:rFonts w:ascii="宋体" w:hAnsi="宋体"/>
                <w:color w:val="auto"/>
                <w:kern w:val="0"/>
                <w:szCs w:val="21"/>
                <w:highlight w:val="none"/>
              </w:rPr>
            </w:pPr>
            <w:r>
              <w:rPr>
                <w:rFonts w:hint="eastAsia" w:ascii="宋体" w:hAnsi="宋体"/>
                <w:color w:val="auto"/>
                <w:highlight w:val="none"/>
              </w:rPr>
              <w:t>5、投标总报价低于最高限价85%的，比选申请人应在编制比选申请文件时，在比选申请函部分中递交低价风险担保提交承诺书。承诺书格式详见第八章比选申请文件格式。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10.6</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关于对竞争性比选文件及投标争议的解释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对资格预审文件或者竞争性比选文件的评标标准和方法，以及资格审查和否决投标条款理解有争议的，应当作出不利于比选人的解释，但违背国家利益、社会公共利益的除外。</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对比选申请文件理解有争议的，应当作出不利于提交该比选申请文件的比选申请人的解释。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tabs>
                <w:tab w:val="left" w:pos="2000"/>
                <w:tab w:val="left" w:pos="5580"/>
                <w:tab w:val="left" w:pos="6220"/>
                <w:tab w:val="left" w:pos="6840"/>
                <w:tab w:val="left" w:pos="7460"/>
                <w:tab w:val="left" w:pos="8100"/>
              </w:tabs>
              <w:autoSpaceDE w:val="0"/>
              <w:autoSpaceDN w:val="0"/>
              <w:snapToGrid w:val="0"/>
              <w:spacing w:line="440" w:lineRule="exact"/>
              <w:jc w:val="center"/>
              <w:rPr>
                <w:rFonts w:ascii="宋体" w:hAnsi="宋体"/>
                <w:color w:val="auto"/>
                <w:kern w:val="0"/>
                <w:szCs w:val="21"/>
                <w:highlight w:val="none"/>
              </w:rPr>
            </w:pPr>
            <w:r>
              <w:rPr>
                <w:rFonts w:hint="eastAsia" w:ascii="宋体" w:hAnsi="宋体" w:cs="宋体"/>
                <w:color w:val="auto"/>
                <w:szCs w:val="21"/>
                <w:highlight w:val="none"/>
              </w:rPr>
              <w:t>10.7</w:t>
            </w:r>
          </w:p>
        </w:tc>
        <w:tc>
          <w:tcPr>
            <w:tcW w:w="1644" w:type="dxa"/>
            <w:vAlign w:val="center"/>
          </w:tcPr>
          <w:p>
            <w:pPr>
              <w:tabs>
                <w:tab w:val="left" w:pos="2032"/>
              </w:tabs>
              <w:autoSpaceDE w:val="0"/>
              <w:autoSpaceDN w:val="0"/>
              <w:spacing w:line="440" w:lineRule="exact"/>
              <w:ind w:right="-127"/>
              <w:jc w:val="center"/>
              <w:rPr>
                <w:rFonts w:ascii="宋体" w:hAnsi="宋体"/>
                <w:color w:val="auto"/>
                <w:kern w:val="0"/>
                <w:szCs w:val="21"/>
                <w:highlight w:val="none"/>
              </w:rPr>
            </w:pPr>
            <w:r>
              <w:rPr>
                <w:rFonts w:hint="eastAsia" w:ascii="宋体" w:hAnsi="宋体" w:cs="宋体"/>
                <w:color w:val="auto"/>
                <w:szCs w:val="21"/>
                <w:highlight w:val="none"/>
              </w:rPr>
              <w:t>竞争性比选文件费和招标代理服务费</w:t>
            </w:r>
          </w:p>
        </w:tc>
        <w:tc>
          <w:tcPr>
            <w:tcW w:w="6490" w:type="dxa"/>
            <w:vAlign w:val="center"/>
          </w:tcPr>
          <w:p>
            <w:pPr>
              <w:keepNext w:val="0"/>
              <w:keepLines w:val="0"/>
              <w:pageBreakBefore w:val="0"/>
              <w:widowControl w:val="0"/>
              <w:tabs>
                <w:tab w:val="left" w:pos="2032"/>
              </w:tabs>
              <w:kinsoku/>
              <w:wordWrap/>
              <w:overflowPunct/>
              <w:topLinePunct w:val="0"/>
              <w:autoSpaceDE w:val="0"/>
              <w:autoSpaceDN w:val="0"/>
              <w:bidi w:val="0"/>
              <w:adjustRightInd/>
              <w:snapToGrid/>
              <w:spacing w:line="440" w:lineRule="exact"/>
              <w:ind w:firstLine="420" w:firstLineChars="200"/>
              <w:textAlignment w:val="auto"/>
              <w:rPr>
                <w:color w:val="auto"/>
                <w:highlight w:val="none"/>
              </w:rPr>
            </w:pPr>
            <w:r>
              <w:rPr>
                <w:rFonts w:hint="eastAsia"/>
                <w:color w:val="auto"/>
                <w:highlight w:val="none"/>
              </w:rPr>
              <w:t>1</w:t>
            </w:r>
            <w:r>
              <w:rPr>
                <w:color w:val="auto"/>
                <w:highlight w:val="none"/>
              </w:rPr>
              <w:t>.</w:t>
            </w:r>
            <w:r>
              <w:rPr>
                <w:rFonts w:hint="eastAsia"/>
                <w:color w:val="auto"/>
                <w:highlight w:val="none"/>
              </w:rPr>
              <w:t>竞争性比选文件费售价5</w:t>
            </w:r>
            <w:r>
              <w:rPr>
                <w:color w:val="auto"/>
                <w:highlight w:val="none"/>
              </w:rPr>
              <w:t>00</w:t>
            </w:r>
            <w:r>
              <w:rPr>
                <w:rFonts w:hint="eastAsia"/>
                <w:color w:val="auto"/>
                <w:highlight w:val="none"/>
              </w:rPr>
              <w:t>元/份，递交比选申请文件时缴纳，售后不退。</w:t>
            </w:r>
          </w:p>
          <w:p>
            <w:pPr>
              <w:keepNext w:val="0"/>
              <w:keepLines w:val="0"/>
              <w:pageBreakBefore w:val="0"/>
              <w:widowControl w:val="0"/>
              <w:tabs>
                <w:tab w:val="left" w:pos="2032"/>
              </w:tabs>
              <w:kinsoku/>
              <w:wordWrap/>
              <w:overflowPunct/>
              <w:topLinePunct w:val="0"/>
              <w:autoSpaceDE w:val="0"/>
              <w:autoSpaceDN w:val="0"/>
              <w:bidi w:val="0"/>
              <w:adjustRightInd/>
              <w:snapToGrid/>
              <w:spacing w:line="440" w:lineRule="exact"/>
              <w:ind w:firstLine="420" w:firstLineChars="200"/>
              <w:textAlignment w:val="auto"/>
              <w:rPr>
                <w:rFonts w:hint="eastAsia"/>
                <w:color w:val="auto"/>
                <w:highlight w:val="none"/>
              </w:rPr>
            </w:pPr>
            <w:r>
              <w:rPr>
                <w:rFonts w:hint="eastAsia"/>
                <w:color w:val="auto"/>
                <w:highlight w:val="none"/>
              </w:rPr>
              <w:t>2</w:t>
            </w:r>
            <w:r>
              <w:rPr>
                <w:color w:val="auto"/>
                <w:highlight w:val="none"/>
              </w:rPr>
              <w:t>.</w:t>
            </w:r>
            <w:r>
              <w:rPr>
                <w:rFonts w:hint="eastAsia"/>
                <w:color w:val="auto"/>
                <w:highlight w:val="none"/>
              </w:rPr>
              <w:t>招标代理服务费：参照《国家计委关于印发〈招标代理服务收费管理暂行办法〉的通知》（计价格[2002]1980号）规定的收费标准，以中选价为计费基数按照工程招标收费标准计算收取代理服务费。招标代理费由中选人在领取中选通知书前一次性向代理机构支付招标代理费。</w:t>
            </w:r>
          </w:p>
          <w:p>
            <w:pPr>
              <w:pStyle w:val="2"/>
              <w:keepNext w:val="0"/>
              <w:keepLines w:val="0"/>
              <w:pageBreakBefore w:val="0"/>
              <w:widowControl w:val="0"/>
              <w:kinsoku/>
              <w:wordWrap/>
              <w:overflowPunct/>
              <w:topLinePunct w:val="0"/>
              <w:bidi w:val="0"/>
              <w:adjustRightInd/>
              <w:snapToGrid/>
              <w:spacing w:after="0" w:line="440" w:lineRule="exact"/>
              <w:ind w:firstLine="420" w:firstLineChars="200"/>
              <w:textAlignment w:val="auto"/>
              <w:rPr>
                <w:color w:val="auto"/>
                <w:highlight w:val="none"/>
              </w:rPr>
            </w:pPr>
            <w:r>
              <w:rPr>
                <w:rFonts w:hint="eastAsia" w:ascii="宋体" w:hAnsi="宋体" w:eastAsia="宋体" w:cs="宋体"/>
                <w:color w:val="auto"/>
                <w:sz w:val="21"/>
                <w:szCs w:val="21"/>
                <w:highlight w:val="none"/>
              </w:rPr>
              <w:t>3.交易服务费：本工程交易服务费由中标人在公示期结束后，按照重庆市公共资源交易中心相关收费标准全额缴纳交易服务费。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10.8</w:t>
            </w:r>
          </w:p>
        </w:tc>
        <w:tc>
          <w:tcPr>
            <w:tcW w:w="1644" w:type="dxa"/>
            <w:vAlign w:val="center"/>
          </w:tcPr>
          <w:p>
            <w:pPr>
              <w:tabs>
                <w:tab w:val="left" w:pos="2032"/>
              </w:tabs>
              <w:autoSpaceDE w:val="0"/>
              <w:autoSpaceDN w:val="0"/>
              <w:spacing w:line="360" w:lineRule="auto"/>
              <w:ind w:right="-127"/>
              <w:jc w:val="center"/>
              <w:rPr>
                <w:rFonts w:ascii="宋体" w:hAnsi="宋体"/>
                <w:color w:val="auto"/>
                <w:kern w:val="0"/>
                <w:szCs w:val="21"/>
                <w:highlight w:val="none"/>
              </w:rPr>
            </w:pPr>
            <w:r>
              <w:rPr>
                <w:rFonts w:hint="eastAsia" w:ascii="宋体" w:hAnsi="宋体" w:cs="宋体"/>
                <w:color w:val="auto"/>
                <w:szCs w:val="21"/>
                <w:highlight w:val="none"/>
              </w:rPr>
              <w:t>特别说明</w:t>
            </w:r>
          </w:p>
        </w:tc>
        <w:tc>
          <w:tcPr>
            <w:tcW w:w="6490" w:type="dxa"/>
            <w:vAlign w:val="center"/>
          </w:tcPr>
          <w:p>
            <w:pPr>
              <w:tabs>
                <w:tab w:val="left" w:pos="2032"/>
              </w:tabs>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竞争性比选文件比选申请人须知前附表内容与后文相应内容不一致时，以比选申请人须知前附表为准。 </w:t>
            </w:r>
          </w:p>
          <w:p>
            <w:pPr>
              <w:tabs>
                <w:tab w:val="left" w:pos="2032"/>
              </w:tabs>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比选人进一步核查比选申请人在比选申请文件中的提供的资料，若在评审后有比选申请人投诉，比选人核查并经查实或评审委员会发现比选申请人提供了虚假资料，评审委员会将对比选申请人的比选申请文件作否决比选申请处理，并没收其比选申请担保；若在评审结果公示期间或合同谈判过程中有比选申请人投诉或经比选人核查并经查实发现作为中选候选人的比选申请人提供了虚假资料，比选人将取消其中选资格并没收其比选申请担保；若在合同实施期间发现比选申请人提供了虚假资料，比选人将从工程支付款或履约保证金中扣除不超过签约合同价的10%的金额作为违约金。</w:t>
            </w:r>
          </w:p>
          <w:p>
            <w:pPr>
              <w:tabs>
                <w:tab w:val="left" w:pos="2032"/>
              </w:tabs>
              <w:autoSpaceDE w:val="0"/>
              <w:autoSpaceDN w:val="0"/>
              <w:spacing w:line="360" w:lineRule="auto"/>
              <w:ind w:firstLine="420" w:firstLineChars="200"/>
              <w:rPr>
                <w:rFonts w:ascii="宋体" w:hAnsi="宋体"/>
                <w:i/>
                <w:color w:val="auto"/>
                <w:kern w:val="0"/>
                <w:szCs w:val="21"/>
                <w:highlight w:val="none"/>
              </w:rPr>
            </w:pPr>
            <w:r>
              <w:rPr>
                <w:rFonts w:hint="eastAsia" w:ascii="宋体" w:hAnsi="宋体" w:cs="宋体"/>
                <w:color w:val="auto"/>
                <w:szCs w:val="21"/>
                <w:highlight w:val="none"/>
              </w:rPr>
              <w:t>2、排名第一的候选人放弃中选、因不可抗力不能履行合同、不按照竞争性比选要求提交履约保证金，或者被查实存在影响中选结果的违法行为等情形，不符合中选条件的，比选人可以按照评审委员会提出的中选候选人名单排序依次确定其他中选候选人为中选人，也可以重新竞争性比选。</w:t>
            </w:r>
          </w:p>
        </w:tc>
      </w:tr>
    </w:tbl>
    <w:p>
      <w:pPr>
        <w:pStyle w:val="4"/>
        <w:spacing w:before="0" w:after="0" w:line="20" w:lineRule="exact"/>
        <w:rPr>
          <w:rFonts w:ascii="宋体" w:hAnsi="宋体"/>
          <w:b w:val="0"/>
          <w:snapToGrid w:val="0"/>
          <w:color w:val="auto"/>
          <w:highlight w:val="none"/>
        </w:rPr>
      </w:pPr>
      <w:bookmarkStart w:id="116" w:name="_Toc200513126"/>
      <w:bookmarkStart w:id="117" w:name="_Toc224103317"/>
      <w:bookmarkStart w:id="118" w:name="_Toc287620685"/>
      <w:bookmarkStart w:id="119" w:name="_Toc430530435"/>
      <w:bookmarkStart w:id="120" w:name="_Toc287607746"/>
      <w:bookmarkStart w:id="121" w:name="_Toc277082552"/>
    </w:p>
    <w:p>
      <w:pPr>
        <w:pStyle w:val="4"/>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pPr>
        <w:pStyle w:val="4"/>
        <w:spacing w:before="0" w:after="0" w:line="360" w:lineRule="auto"/>
        <w:rPr>
          <w:rFonts w:ascii="宋体" w:hAnsi="宋体"/>
          <w:b w:val="0"/>
          <w:snapToGrid w:val="0"/>
          <w:color w:val="auto"/>
          <w:highlight w:val="none"/>
        </w:rPr>
      </w:pPr>
      <w:bookmarkStart w:id="122" w:name="_Toc509218710"/>
      <w:bookmarkStart w:id="123" w:name="_Toc840"/>
      <w:bookmarkStart w:id="124" w:name="_Toc1587"/>
      <w:r>
        <w:rPr>
          <w:rFonts w:ascii="宋体" w:hAnsi="宋体"/>
          <w:b w:val="0"/>
          <w:snapToGrid w:val="0"/>
          <w:color w:val="auto"/>
          <w:highlight w:val="none"/>
        </w:rPr>
        <w:t>1.  总则</w:t>
      </w:r>
      <w:bookmarkEnd w:id="116"/>
      <w:bookmarkEnd w:id="117"/>
      <w:bookmarkEnd w:id="118"/>
      <w:bookmarkEnd w:id="119"/>
      <w:bookmarkEnd w:id="120"/>
      <w:bookmarkEnd w:id="121"/>
      <w:bookmarkEnd w:id="122"/>
      <w:bookmarkEnd w:id="123"/>
      <w:bookmarkEnd w:id="124"/>
    </w:p>
    <w:p>
      <w:pPr>
        <w:pStyle w:val="5"/>
        <w:snapToGrid w:val="0"/>
        <w:spacing w:before="0" w:after="0" w:line="360" w:lineRule="auto"/>
        <w:rPr>
          <w:rFonts w:ascii="宋体" w:hAnsi="宋体"/>
          <w:b w:val="0"/>
          <w:snapToGrid w:val="0"/>
          <w:color w:val="auto"/>
          <w:sz w:val="24"/>
          <w:szCs w:val="24"/>
          <w:highlight w:val="none"/>
        </w:rPr>
      </w:pPr>
      <w:bookmarkStart w:id="125" w:name="_Toc200513127"/>
      <w:bookmarkStart w:id="126" w:name="_Toc277082553"/>
      <w:bookmarkStart w:id="127" w:name="_Toc224103318"/>
      <w:bookmarkStart w:id="128" w:name="_Toc509218711"/>
      <w:bookmarkStart w:id="129" w:name="_Toc32232"/>
      <w:bookmarkStart w:id="130" w:name="_Toc287620686"/>
      <w:bookmarkStart w:id="131" w:name="_Toc287607747"/>
      <w:bookmarkStart w:id="132" w:name="_Toc430530436"/>
      <w:bookmarkStart w:id="133" w:name="_Toc16515"/>
      <w:r>
        <w:rPr>
          <w:rFonts w:ascii="宋体" w:hAnsi="宋体"/>
          <w:b w:val="0"/>
          <w:snapToGrid w:val="0"/>
          <w:color w:val="auto"/>
          <w:sz w:val="24"/>
          <w:szCs w:val="24"/>
          <w:highlight w:val="none"/>
        </w:rPr>
        <w:t>1.1  项目概况</w:t>
      </w:r>
      <w:bookmarkEnd w:id="125"/>
      <w:bookmarkEnd w:id="126"/>
      <w:bookmarkEnd w:id="127"/>
      <w:bookmarkEnd w:id="128"/>
      <w:bookmarkEnd w:id="129"/>
      <w:bookmarkEnd w:id="130"/>
      <w:bookmarkEnd w:id="131"/>
      <w:bookmarkEnd w:id="132"/>
      <w:bookmarkEnd w:id="133"/>
    </w:p>
    <w:p>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根据《中华人民共和国比选投标法》等有关法律、法规和规章的规定，本比选项目已具备比选条件，现对本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施工进行比选。</w:t>
      </w:r>
    </w:p>
    <w:p>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本比选项目比选人：见比选申请人须知前附表。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本比选项目比选代理机构：见比选申请人须知前附表。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本比选项目名称：见比选申请人须知前附表。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本比选项目建设地点：见比选申请人须知前附表。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本比选项目建设规模：见比选申请人须知前附表。</w:t>
      </w:r>
    </w:p>
    <w:p>
      <w:pPr>
        <w:pStyle w:val="5"/>
        <w:snapToGrid w:val="0"/>
        <w:spacing w:before="0" w:after="0" w:line="360" w:lineRule="auto"/>
        <w:rPr>
          <w:rFonts w:ascii="宋体" w:hAnsi="宋体"/>
          <w:b w:val="0"/>
          <w:snapToGrid w:val="0"/>
          <w:color w:val="auto"/>
          <w:sz w:val="24"/>
          <w:szCs w:val="24"/>
          <w:highlight w:val="none"/>
        </w:rPr>
      </w:pPr>
      <w:bookmarkStart w:id="134" w:name="_Toc200513128"/>
      <w:bookmarkStart w:id="135" w:name="_Toc21567"/>
      <w:bookmarkStart w:id="136" w:name="_Toc509218712"/>
      <w:bookmarkStart w:id="137" w:name="_Toc3400"/>
      <w:bookmarkStart w:id="138" w:name="_Toc430530437"/>
      <w:bookmarkStart w:id="139" w:name="_Toc287607748"/>
      <w:bookmarkStart w:id="140" w:name="_Toc287620687"/>
      <w:bookmarkStart w:id="141" w:name="_Toc224103319"/>
      <w:bookmarkStart w:id="142" w:name="_Toc277082554"/>
      <w:r>
        <w:rPr>
          <w:rFonts w:ascii="宋体" w:hAnsi="宋体"/>
          <w:b w:val="0"/>
          <w:snapToGrid w:val="0"/>
          <w:color w:val="auto"/>
          <w:sz w:val="24"/>
          <w:szCs w:val="24"/>
          <w:highlight w:val="none"/>
        </w:rPr>
        <w:t>1.2  资金来源和落实情况</w:t>
      </w:r>
      <w:bookmarkEnd w:id="134"/>
      <w:bookmarkEnd w:id="135"/>
      <w:bookmarkEnd w:id="136"/>
      <w:bookmarkEnd w:id="137"/>
      <w:bookmarkEnd w:id="138"/>
      <w:bookmarkEnd w:id="139"/>
      <w:bookmarkEnd w:id="140"/>
      <w:bookmarkEnd w:id="141"/>
      <w:bookmarkEnd w:id="142"/>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本比选项目的资金来源：见比选申请人须知前附表。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本比选项目的出资比例：见比选申请人须知前附表。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本比选项目的资金落实情况：见比选申请人须知前附表。</w:t>
      </w:r>
    </w:p>
    <w:p>
      <w:pPr>
        <w:pStyle w:val="5"/>
        <w:snapToGrid w:val="0"/>
        <w:spacing w:before="0" w:after="0" w:line="360" w:lineRule="auto"/>
        <w:rPr>
          <w:rFonts w:ascii="宋体" w:hAnsi="宋体"/>
          <w:b w:val="0"/>
          <w:snapToGrid w:val="0"/>
          <w:color w:val="auto"/>
          <w:sz w:val="24"/>
          <w:szCs w:val="24"/>
          <w:highlight w:val="none"/>
        </w:rPr>
      </w:pPr>
      <w:bookmarkStart w:id="143" w:name="_Toc4104"/>
      <w:bookmarkStart w:id="144" w:name="_Toc200513129"/>
      <w:bookmarkStart w:id="145" w:name="_Toc509218713"/>
      <w:bookmarkStart w:id="146" w:name="_Toc430530438"/>
      <w:bookmarkStart w:id="147" w:name="_Toc31112"/>
      <w:bookmarkStart w:id="148" w:name="_Toc287607749"/>
      <w:bookmarkStart w:id="149" w:name="_Toc224103320"/>
      <w:bookmarkStart w:id="150" w:name="_Toc277082555"/>
      <w:bookmarkStart w:id="151" w:name="_Toc287620688"/>
      <w:r>
        <w:rPr>
          <w:rFonts w:ascii="宋体" w:hAnsi="宋体"/>
          <w:b w:val="0"/>
          <w:snapToGrid w:val="0"/>
          <w:color w:val="auto"/>
          <w:sz w:val="24"/>
          <w:szCs w:val="24"/>
          <w:highlight w:val="none"/>
        </w:rPr>
        <w:t>1.3  比选范围、计划工期和质量要求</w:t>
      </w:r>
      <w:bookmarkEnd w:id="143"/>
      <w:bookmarkEnd w:id="144"/>
      <w:bookmarkEnd w:id="145"/>
      <w:bookmarkEnd w:id="146"/>
      <w:bookmarkEnd w:id="147"/>
      <w:bookmarkEnd w:id="148"/>
      <w:bookmarkEnd w:id="149"/>
      <w:bookmarkEnd w:id="150"/>
      <w:bookmarkEnd w:id="151"/>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1.3.1  比选范围：见比选申请人须知前附表。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计划工期：见比选申请人须知前附表。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质量要求：见比选申请人须知前附表。</w:t>
      </w:r>
    </w:p>
    <w:p>
      <w:pPr>
        <w:pStyle w:val="5"/>
        <w:snapToGrid w:val="0"/>
        <w:spacing w:before="0" w:after="0" w:line="360" w:lineRule="auto"/>
        <w:rPr>
          <w:rFonts w:ascii="宋体" w:hAnsi="宋体"/>
          <w:b w:val="0"/>
          <w:snapToGrid w:val="0"/>
          <w:color w:val="auto"/>
          <w:sz w:val="24"/>
          <w:szCs w:val="24"/>
          <w:highlight w:val="none"/>
        </w:rPr>
      </w:pPr>
      <w:bookmarkStart w:id="152" w:name="_Toc287607751"/>
      <w:bookmarkStart w:id="153" w:name="_Toc224103322"/>
      <w:bookmarkStart w:id="154" w:name="_Toc200513131"/>
      <w:bookmarkStart w:id="155" w:name="_Toc277082557"/>
      <w:bookmarkStart w:id="156" w:name="_Toc1894"/>
      <w:bookmarkStart w:id="157" w:name="_Toc509218715"/>
      <w:bookmarkStart w:id="158" w:name="_Toc287620690"/>
      <w:bookmarkStart w:id="159" w:name="_Toc430530440"/>
      <w:bookmarkStart w:id="160" w:name="_Toc11275"/>
      <w:r>
        <w:rPr>
          <w:rFonts w:ascii="宋体" w:hAnsi="宋体"/>
          <w:b w:val="0"/>
          <w:snapToGrid w:val="0"/>
          <w:color w:val="auto"/>
          <w:sz w:val="24"/>
          <w:szCs w:val="24"/>
          <w:highlight w:val="none"/>
        </w:rPr>
        <w:t>1.4 比选申请人资格要求</w:t>
      </w:r>
      <w:bookmarkEnd w:id="152"/>
      <w:bookmarkEnd w:id="153"/>
      <w:bookmarkEnd w:id="154"/>
      <w:bookmarkEnd w:id="155"/>
      <w:bookmarkEnd w:id="156"/>
      <w:bookmarkEnd w:id="157"/>
      <w:bookmarkEnd w:id="158"/>
      <w:bookmarkEnd w:id="159"/>
      <w:bookmarkEnd w:id="160"/>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1.4.1 比选申请人应具备承担本标段施工的资质条件、能力和信誉。</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：见比选申请人须知前附表；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2</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：见比选申请人须知前附表；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：见比选申请人须知前附表；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）其他要求：见比选申请人须知前附表。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1.4.2  比选申请人须知前附表规定接受联合体投标的，除应符合本章第1.4.1项和比选申请人须知前附表的要求外，还应遵守以下规定：</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（1）联合体各方应按竞争性比选文件提供的格式签订联合体协议书，明确联合体牵头人和各方权利义务；</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（2）联合体各方均应当具备承担比选项目的相应能力；联合体协议约定同一专业分工由两个及以上单位共同承担的，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1.4.3  比选申请人不得存在下列情形之一：</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（1）与比选人存在利害关系可能影响比选公正性的法人、其他组织或者个人；</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（5）为本标段提供比选代理服务的；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（6）与本标段的监理人或代建人或比选代理机构同为一个法定代表人的；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（7）与本标段的监理人或代建人或比选代理机构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（8）与本标段的监理人或代建人或比选代理机构相互任职或工作的；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（9）被责令停业的；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（11）财产被接管或冻结的；</w:t>
      </w:r>
    </w:p>
    <w:p>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pPr>
        <w:pStyle w:val="5"/>
        <w:snapToGrid w:val="0"/>
        <w:spacing w:before="0" w:after="0" w:line="360" w:lineRule="auto"/>
        <w:rPr>
          <w:rFonts w:ascii="宋体" w:hAnsi="宋体"/>
          <w:b w:val="0"/>
          <w:snapToGrid w:val="0"/>
          <w:color w:val="auto"/>
          <w:sz w:val="24"/>
          <w:szCs w:val="24"/>
          <w:highlight w:val="none"/>
        </w:rPr>
      </w:pPr>
      <w:bookmarkStart w:id="161" w:name="_Toc287620691"/>
      <w:bookmarkStart w:id="162" w:name="_Toc200513132"/>
      <w:bookmarkStart w:id="163" w:name="_Toc509218716"/>
      <w:bookmarkStart w:id="164" w:name="_Toc224103323"/>
      <w:bookmarkStart w:id="165" w:name="_Toc20662"/>
      <w:bookmarkStart w:id="166" w:name="_Toc8681"/>
      <w:bookmarkStart w:id="167" w:name="_Toc287607752"/>
      <w:bookmarkStart w:id="168" w:name="_Toc430530441"/>
      <w:bookmarkStart w:id="169" w:name="_Toc277082558"/>
      <w:r>
        <w:rPr>
          <w:rFonts w:ascii="宋体" w:hAnsi="宋体"/>
          <w:b w:val="0"/>
          <w:snapToGrid w:val="0"/>
          <w:color w:val="auto"/>
          <w:sz w:val="24"/>
          <w:szCs w:val="24"/>
          <w:highlight w:val="none"/>
        </w:rPr>
        <w:t>1.5  费用承担</w:t>
      </w:r>
      <w:bookmarkEnd w:id="161"/>
      <w:bookmarkEnd w:id="162"/>
      <w:bookmarkEnd w:id="163"/>
      <w:bookmarkEnd w:id="164"/>
      <w:bookmarkEnd w:id="165"/>
      <w:bookmarkEnd w:id="166"/>
      <w:bookmarkEnd w:id="167"/>
      <w:bookmarkEnd w:id="168"/>
      <w:bookmarkEnd w:id="16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比选申请人准备和参加投标活动发生的费用自理。</w:t>
      </w:r>
    </w:p>
    <w:p>
      <w:pPr>
        <w:pStyle w:val="5"/>
        <w:snapToGrid w:val="0"/>
        <w:spacing w:before="0" w:after="0" w:line="360" w:lineRule="auto"/>
        <w:rPr>
          <w:rFonts w:ascii="宋体" w:hAnsi="宋体"/>
          <w:b w:val="0"/>
          <w:snapToGrid w:val="0"/>
          <w:color w:val="auto"/>
          <w:sz w:val="24"/>
          <w:szCs w:val="24"/>
          <w:highlight w:val="none"/>
        </w:rPr>
      </w:pPr>
      <w:bookmarkStart w:id="170" w:name="_Toc224103324"/>
      <w:bookmarkStart w:id="171" w:name="_Toc26130"/>
      <w:bookmarkStart w:id="172" w:name="_Toc277082559"/>
      <w:bookmarkStart w:id="173" w:name="_Toc430530442"/>
      <w:bookmarkStart w:id="174" w:name="_Toc287620692"/>
      <w:bookmarkStart w:id="175" w:name="_Toc200513133"/>
      <w:bookmarkStart w:id="176" w:name="_Toc509218717"/>
      <w:bookmarkStart w:id="177" w:name="_Toc287607753"/>
      <w:bookmarkStart w:id="178" w:name="_Toc32396"/>
      <w:r>
        <w:rPr>
          <w:rFonts w:ascii="宋体" w:hAnsi="宋体"/>
          <w:b w:val="0"/>
          <w:snapToGrid w:val="0"/>
          <w:color w:val="auto"/>
          <w:sz w:val="24"/>
          <w:szCs w:val="24"/>
          <w:highlight w:val="none"/>
        </w:rPr>
        <w:t>1.6  保密</w:t>
      </w:r>
      <w:bookmarkEnd w:id="170"/>
      <w:bookmarkEnd w:id="171"/>
      <w:bookmarkEnd w:id="172"/>
      <w:bookmarkEnd w:id="173"/>
      <w:bookmarkEnd w:id="174"/>
      <w:bookmarkEnd w:id="175"/>
      <w:bookmarkEnd w:id="176"/>
      <w:bookmarkEnd w:id="177"/>
      <w:bookmarkEnd w:id="178"/>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参与比选投标活动的各方应对竞争性比选文件和</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中的商业和技术等秘密保密，违者应对由此造成的后果承担法律责任。</w:t>
      </w:r>
    </w:p>
    <w:p>
      <w:pPr>
        <w:pStyle w:val="5"/>
        <w:snapToGrid w:val="0"/>
        <w:spacing w:before="0" w:after="0" w:line="360" w:lineRule="auto"/>
        <w:rPr>
          <w:rFonts w:ascii="宋体" w:hAnsi="宋体"/>
          <w:b w:val="0"/>
          <w:snapToGrid w:val="0"/>
          <w:color w:val="auto"/>
          <w:sz w:val="24"/>
          <w:szCs w:val="24"/>
          <w:highlight w:val="none"/>
        </w:rPr>
      </w:pPr>
      <w:bookmarkStart w:id="179" w:name="_Toc287620693"/>
      <w:bookmarkStart w:id="180" w:name="_Toc509218718"/>
      <w:bookmarkStart w:id="181" w:name="_Toc224103325"/>
      <w:bookmarkStart w:id="182" w:name="_Toc1222"/>
      <w:bookmarkStart w:id="183" w:name="_Toc200513134"/>
      <w:bookmarkStart w:id="184" w:name="_Toc287607754"/>
      <w:bookmarkStart w:id="185" w:name="_Toc430530443"/>
      <w:bookmarkStart w:id="186" w:name="_Toc15010"/>
      <w:bookmarkStart w:id="187" w:name="_Toc277082560"/>
      <w:r>
        <w:rPr>
          <w:rFonts w:ascii="宋体" w:hAnsi="宋体"/>
          <w:b w:val="0"/>
          <w:snapToGrid w:val="0"/>
          <w:color w:val="auto"/>
          <w:sz w:val="24"/>
          <w:szCs w:val="24"/>
          <w:highlight w:val="none"/>
        </w:rPr>
        <w:t>1.7  语言文字</w:t>
      </w:r>
      <w:bookmarkEnd w:id="179"/>
      <w:bookmarkEnd w:id="180"/>
      <w:bookmarkEnd w:id="181"/>
      <w:bookmarkEnd w:id="182"/>
      <w:bookmarkEnd w:id="183"/>
      <w:bookmarkEnd w:id="184"/>
      <w:bookmarkEnd w:id="185"/>
      <w:bookmarkEnd w:id="186"/>
      <w:bookmarkEnd w:id="18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除专用术语外，与比选投标有关的语言均使用中文。必要时专用术语应附有中文注释。</w:t>
      </w:r>
    </w:p>
    <w:p>
      <w:pPr>
        <w:pStyle w:val="5"/>
        <w:snapToGrid w:val="0"/>
        <w:spacing w:before="0" w:after="0" w:line="360" w:lineRule="auto"/>
        <w:rPr>
          <w:rFonts w:ascii="宋体" w:hAnsi="宋体"/>
          <w:b w:val="0"/>
          <w:snapToGrid w:val="0"/>
          <w:color w:val="auto"/>
          <w:sz w:val="24"/>
          <w:szCs w:val="24"/>
          <w:highlight w:val="none"/>
        </w:rPr>
      </w:pPr>
      <w:bookmarkStart w:id="188" w:name="_Toc277082561"/>
      <w:bookmarkStart w:id="189" w:name="_Toc287620694"/>
      <w:bookmarkStart w:id="190" w:name="_Toc10838"/>
      <w:bookmarkStart w:id="191" w:name="_Toc509218719"/>
      <w:bookmarkStart w:id="192" w:name="_Toc224103326"/>
      <w:bookmarkStart w:id="193" w:name="_Toc13374"/>
      <w:bookmarkStart w:id="194" w:name="_Toc200513135"/>
      <w:bookmarkStart w:id="195" w:name="_Toc287607755"/>
      <w:bookmarkStart w:id="196" w:name="_Toc430530444"/>
      <w:r>
        <w:rPr>
          <w:rFonts w:ascii="宋体" w:hAnsi="宋体"/>
          <w:b w:val="0"/>
          <w:snapToGrid w:val="0"/>
          <w:color w:val="auto"/>
          <w:sz w:val="24"/>
          <w:szCs w:val="24"/>
          <w:highlight w:val="none"/>
        </w:rPr>
        <w:t>1.8  计量单位</w:t>
      </w:r>
      <w:bookmarkEnd w:id="188"/>
      <w:bookmarkEnd w:id="189"/>
      <w:bookmarkEnd w:id="190"/>
      <w:bookmarkEnd w:id="191"/>
      <w:bookmarkEnd w:id="192"/>
      <w:bookmarkEnd w:id="193"/>
      <w:bookmarkEnd w:id="194"/>
      <w:bookmarkEnd w:id="195"/>
      <w:bookmarkEnd w:id="196"/>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pPr>
        <w:pStyle w:val="5"/>
        <w:snapToGrid w:val="0"/>
        <w:spacing w:before="0" w:after="0" w:line="360" w:lineRule="auto"/>
        <w:rPr>
          <w:rFonts w:ascii="宋体" w:hAnsi="宋体"/>
          <w:b w:val="0"/>
          <w:snapToGrid w:val="0"/>
          <w:color w:val="auto"/>
          <w:sz w:val="24"/>
          <w:szCs w:val="24"/>
          <w:highlight w:val="none"/>
        </w:rPr>
      </w:pPr>
      <w:bookmarkStart w:id="197" w:name="_Toc287620695"/>
      <w:bookmarkStart w:id="198" w:name="_Toc19275"/>
      <w:bookmarkStart w:id="199" w:name="_Toc200513136"/>
      <w:bookmarkStart w:id="200" w:name="_Toc287607756"/>
      <w:bookmarkStart w:id="201" w:name="_Toc277082562"/>
      <w:bookmarkStart w:id="202" w:name="_Toc24964"/>
      <w:bookmarkStart w:id="203" w:name="_Toc430530445"/>
      <w:bookmarkStart w:id="204" w:name="_Toc509218720"/>
      <w:bookmarkStart w:id="205" w:name="_Toc224103327"/>
      <w:r>
        <w:rPr>
          <w:rFonts w:ascii="宋体" w:hAnsi="宋体"/>
          <w:b w:val="0"/>
          <w:snapToGrid w:val="0"/>
          <w:color w:val="auto"/>
          <w:sz w:val="24"/>
          <w:szCs w:val="24"/>
          <w:highlight w:val="none"/>
        </w:rPr>
        <w:t>1.9  踏勘现场</w:t>
      </w:r>
      <w:bookmarkEnd w:id="197"/>
      <w:bookmarkEnd w:id="198"/>
      <w:bookmarkEnd w:id="199"/>
      <w:bookmarkEnd w:id="200"/>
      <w:bookmarkEnd w:id="201"/>
      <w:bookmarkEnd w:id="202"/>
      <w:bookmarkEnd w:id="203"/>
      <w:bookmarkEnd w:id="204"/>
      <w:bookmarkEnd w:id="205"/>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1.9.1  比选申请人须知前附表规定组织踏勘现场的，比选人按比选申请人须知前附表规定的时间、 地点组织比选申请人踏勘项目现场。</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1.9.2  比选申请人踏勘现场发生的费用自理。</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除比选人的原因外，比选申请人自行负责在踏勘现场中所发生的人员伤亡和财产损失。</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1.9.4  比选人在踏勘现场中介绍的工程场地和相关的周边环境情况，供比选申请人在编制</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时参考，比选人不对比选申请人据此做出的判断和决策负责。</w:t>
      </w:r>
    </w:p>
    <w:p>
      <w:pPr>
        <w:pStyle w:val="5"/>
        <w:snapToGrid w:val="0"/>
        <w:spacing w:before="0" w:after="0" w:line="360" w:lineRule="auto"/>
        <w:rPr>
          <w:rFonts w:ascii="宋体" w:hAnsi="宋体"/>
          <w:b w:val="0"/>
          <w:snapToGrid w:val="0"/>
          <w:color w:val="auto"/>
          <w:sz w:val="24"/>
          <w:szCs w:val="24"/>
          <w:highlight w:val="none"/>
        </w:rPr>
      </w:pPr>
      <w:bookmarkStart w:id="206" w:name="_Toc32057"/>
      <w:bookmarkStart w:id="207" w:name="_Toc4743"/>
      <w:bookmarkStart w:id="208" w:name="_Toc224103328"/>
      <w:bookmarkStart w:id="209" w:name="_Toc509218721"/>
      <w:bookmarkStart w:id="210" w:name="_Toc277082563"/>
      <w:bookmarkStart w:id="211" w:name="_Toc287620696"/>
      <w:bookmarkStart w:id="212" w:name="_Toc430530446"/>
      <w:bookmarkStart w:id="213" w:name="_Toc287607757"/>
      <w:bookmarkStart w:id="214" w:name="_Toc200513137"/>
      <w:r>
        <w:rPr>
          <w:rFonts w:ascii="宋体" w:hAnsi="宋体"/>
          <w:b w:val="0"/>
          <w:snapToGrid w:val="0"/>
          <w:color w:val="auto"/>
          <w:sz w:val="24"/>
          <w:szCs w:val="24"/>
          <w:highlight w:val="none"/>
        </w:rPr>
        <w:t>1.10  投标预备会</w:t>
      </w:r>
      <w:bookmarkEnd w:id="206"/>
      <w:bookmarkEnd w:id="207"/>
      <w:bookmarkEnd w:id="208"/>
      <w:bookmarkEnd w:id="209"/>
      <w:bookmarkEnd w:id="210"/>
      <w:bookmarkEnd w:id="211"/>
      <w:bookmarkEnd w:id="212"/>
      <w:bookmarkEnd w:id="213"/>
      <w:bookmarkEnd w:id="214"/>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比选申请人须知前附表规定召开投标预备会的，比选人按比选申请人须知前附表规定的时间和地点召开投标预备会，澄清比选申请人提出的问题。</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比选申请人应在比选申请人须知前附表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规定的时间前，以书面形式将提出的问题送达比选人，以便比选人澄清。</w:t>
      </w:r>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比选人在比选申请人须知前附表规定的时间内，将对比选申请人所提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进行澄清。该澄清内容为竞争性比选文件的组成部分。</w:t>
      </w:r>
    </w:p>
    <w:p>
      <w:pPr>
        <w:pStyle w:val="5"/>
        <w:snapToGrid w:val="0"/>
        <w:spacing w:before="0" w:after="0" w:line="360" w:lineRule="auto"/>
        <w:rPr>
          <w:rFonts w:ascii="宋体" w:hAnsi="宋体"/>
          <w:b w:val="0"/>
          <w:snapToGrid w:val="0"/>
          <w:color w:val="auto"/>
          <w:sz w:val="24"/>
          <w:szCs w:val="24"/>
          <w:highlight w:val="none"/>
        </w:rPr>
      </w:pPr>
      <w:bookmarkStart w:id="215" w:name="_Toc224103329"/>
      <w:bookmarkStart w:id="216" w:name="_Toc509218722"/>
      <w:bookmarkStart w:id="217" w:name="_Toc200513138"/>
      <w:bookmarkStart w:id="218" w:name="_Toc430530447"/>
      <w:bookmarkStart w:id="219" w:name="_Toc287607758"/>
      <w:bookmarkStart w:id="220" w:name="_Toc287620697"/>
      <w:bookmarkStart w:id="221" w:name="_Toc277082564"/>
      <w:bookmarkStart w:id="222" w:name="_Toc32647"/>
      <w:bookmarkStart w:id="223" w:name="_Toc3036"/>
      <w:r>
        <w:rPr>
          <w:rFonts w:ascii="宋体" w:hAnsi="宋体"/>
          <w:b w:val="0"/>
          <w:snapToGrid w:val="0"/>
          <w:color w:val="auto"/>
          <w:sz w:val="24"/>
          <w:szCs w:val="24"/>
          <w:highlight w:val="none"/>
        </w:rPr>
        <w:t>1.11  分包</w:t>
      </w:r>
      <w:bookmarkEnd w:id="215"/>
      <w:bookmarkEnd w:id="216"/>
      <w:bookmarkEnd w:id="217"/>
      <w:bookmarkEnd w:id="218"/>
      <w:bookmarkEnd w:id="219"/>
      <w:bookmarkEnd w:id="220"/>
      <w:bookmarkEnd w:id="221"/>
      <w:bookmarkEnd w:id="222"/>
      <w:bookmarkEnd w:id="223"/>
    </w:p>
    <w:p>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比选申请人拟在中标后将中标项目的部分非主体、非关键性工作进行分包的，应符合比选申请人须知前附表规定的分包内容、分包金额和接受分包的第三人资质要求等限制性条件。</w:t>
      </w:r>
    </w:p>
    <w:p>
      <w:pPr>
        <w:pStyle w:val="5"/>
        <w:snapToGrid w:val="0"/>
        <w:spacing w:before="0" w:after="0" w:line="360" w:lineRule="auto"/>
        <w:rPr>
          <w:rFonts w:ascii="宋体" w:hAnsi="宋体"/>
          <w:b w:val="0"/>
          <w:snapToGrid w:val="0"/>
          <w:color w:val="auto"/>
          <w:sz w:val="24"/>
          <w:szCs w:val="24"/>
          <w:highlight w:val="none"/>
        </w:rPr>
      </w:pPr>
      <w:bookmarkStart w:id="224" w:name="_Toc430530448"/>
      <w:bookmarkStart w:id="225" w:name="_Toc200513139"/>
      <w:bookmarkStart w:id="226" w:name="_Toc27999"/>
      <w:bookmarkStart w:id="227" w:name="_Toc287607759"/>
      <w:bookmarkStart w:id="228" w:name="_Toc287620698"/>
      <w:bookmarkStart w:id="229" w:name="_Toc224103330"/>
      <w:bookmarkStart w:id="230" w:name="_Toc277082565"/>
      <w:bookmarkStart w:id="231" w:name="_Toc509218723"/>
      <w:bookmarkStart w:id="232" w:name="_Toc5536"/>
      <w:r>
        <w:rPr>
          <w:rFonts w:ascii="宋体" w:hAnsi="宋体"/>
          <w:b w:val="0"/>
          <w:snapToGrid w:val="0"/>
          <w:color w:val="auto"/>
          <w:sz w:val="24"/>
          <w:szCs w:val="24"/>
          <w:highlight w:val="none"/>
        </w:rPr>
        <w:t>1.12  偏离</w:t>
      </w:r>
      <w:bookmarkEnd w:id="224"/>
      <w:bookmarkEnd w:id="225"/>
      <w:bookmarkEnd w:id="226"/>
      <w:bookmarkEnd w:id="227"/>
      <w:bookmarkEnd w:id="228"/>
      <w:bookmarkEnd w:id="229"/>
      <w:bookmarkEnd w:id="230"/>
      <w:bookmarkEnd w:id="231"/>
      <w:bookmarkEnd w:id="23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比选申请人须知前附表允许</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偏离竞争性比选文件某些要求的，偏离应当符合竞争性比选文件规定 的偏离范围和幅度。</w:t>
      </w:r>
    </w:p>
    <w:p>
      <w:pPr>
        <w:pStyle w:val="4"/>
        <w:spacing w:before="0" w:after="0" w:line="360" w:lineRule="auto"/>
        <w:rPr>
          <w:rFonts w:ascii="宋体" w:hAnsi="宋体"/>
          <w:b w:val="0"/>
          <w:snapToGrid w:val="0"/>
          <w:color w:val="auto"/>
          <w:highlight w:val="none"/>
        </w:rPr>
      </w:pPr>
      <w:bookmarkStart w:id="233" w:name="_Toc287620699"/>
      <w:bookmarkStart w:id="234" w:name="_Toc11902"/>
      <w:bookmarkStart w:id="235" w:name="_Toc224103331"/>
      <w:bookmarkStart w:id="236" w:name="_Toc430530449"/>
      <w:bookmarkStart w:id="237" w:name="_Toc287607760"/>
      <w:bookmarkStart w:id="238" w:name="_Toc277082566"/>
      <w:bookmarkStart w:id="239" w:name="_Toc200513140"/>
      <w:bookmarkStart w:id="240" w:name="_Toc9858"/>
      <w:bookmarkStart w:id="241" w:name="_Toc509218724"/>
      <w:r>
        <w:rPr>
          <w:rFonts w:ascii="宋体" w:hAnsi="宋体"/>
          <w:b w:val="0"/>
          <w:snapToGrid w:val="0"/>
          <w:color w:val="auto"/>
          <w:highlight w:val="none"/>
        </w:rPr>
        <w:t>2.  竞争性比选文件</w:t>
      </w:r>
      <w:bookmarkEnd w:id="233"/>
      <w:bookmarkEnd w:id="234"/>
      <w:bookmarkEnd w:id="235"/>
      <w:bookmarkEnd w:id="236"/>
      <w:bookmarkEnd w:id="237"/>
      <w:bookmarkEnd w:id="238"/>
      <w:bookmarkEnd w:id="239"/>
      <w:bookmarkEnd w:id="240"/>
      <w:bookmarkEnd w:id="241"/>
    </w:p>
    <w:p>
      <w:pPr>
        <w:pStyle w:val="5"/>
        <w:snapToGrid w:val="0"/>
        <w:spacing w:before="0" w:after="0" w:line="360" w:lineRule="auto"/>
        <w:rPr>
          <w:rFonts w:ascii="宋体" w:hAnsi="宋体"/>
          <w:b w:val="0"/>
          <w:snapToGrid w:val="0"/>
          <w:color w:val="auto"/>
          <w:sz w:val="24"/>
          <w:szCs w:val="24"/>
          <w:highlight w:val="none"/>
        </w:rPr>
      </w:pPr>
      <w:bookmarkStart w:id="242" w:name="_Toc31696"/>
      <w:bookmarkStart w:id="243" w:name="_Toc509218725"/>
      <w:bookmarkStart w:id="244" w:name="_Toc20357"/>
      <w:bookmarkStart w:id="245" w:name="_Toc224103332"/>
      <w:bookmarkStart w:id="246" w:name="_Toc200513141"/>
      <w:bookmarkStart w:id="247" w:name="_Toc287607761"/>
      <w:bookmarkStart w:id="248" w:name="_Toc277082567"/>
      <w:bookmarkStart w:id="249" w:name="_Toc287620700"/>
      <w:bookmarkStart w:id="250" w:name="_Toc430530450"/>
      <w:r>
        <w:rPr>
          <w:rFonts w:ascii="宋体" w:hAnsi="宋体"/>
          <w:b w:val="0"/>
          <w:snapToGrid w:val="0"/>
          <w:color w:val="auto"/>
          <w:sz w:val="24"/>
          <w:szCs w:val="24"/>
          <w:highlight w:val="none"/>
        </w:rPr>
        <w:t>2.1  竞争性比选文件的组成</w:t>
      </w:r>
      <w:bookmarkEnd w:id="242"/>
      <w:bookmarkEnd w:id="243"/>
      <w:bookmarkEnd w:id="244"/>
      <w:bookmarkEnd w:id="245"/>
      <w:bookmarkEnd w:id="246"/>
      <w:bookmarkEnd w:id="247"/>
      <w:bookmarkEnd w:id="248"/>
      <w:bookmarkEnd w:id="249"/>
      <w:bookmarkEnd w:id="250"/>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本竞争性比选文件包括：</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（1）竞争性比选公告；</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（2）比选申请人须知；</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（9）比选申请人须知前附表规定的其他材料。</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根据本章第1.10款、第2.2款和第2.3款对竞争性比选文件所作的澄清、修改，构成竞争性比选文件的组成部分。</w:t>
      </w:r>
    </w:p>
    <w:p>
      <w:pPr>
        <w:pStyle w:val="5"/>
        <w:snapToGrid w:val="0"/>
        <w:spacing w:before="0" w:after="0" w:line="360" w:lineRule="auto"/>
        <w:rPr>
          <w:rFonts w:ascii="宋体" w:hAnsi="宋体"/>
          <w:b w:val="0"/>
          <w:snapToGrid w:val="0"/>
          <w:color w:val="auto"/>
          <w:sz w:val="24"/>
          <w:szCs w:val="24"/>
          <w:highlight w:val="none"/>
        </w:rPr>
      </w:pPr>
      <w:bookmarkStart w:id="251" w:name="_Toc489"/>
      <w:bookmarkStart w:id="252" w:name="_Toc430530451"/>
      <w:bookmarkStart w:id="253" w:name="_Toc23750"/>
      <w:bookmarkStart w:id="254" w:name="_Toc509218726"/>
      <w:r>
        <w:rPr>
          <w:rFonts w:ascii="宋体" w:hAnsi="宋体"/>
          <w:b w:val="0"/>
          <w:snapToGrid w:val="0"/>
          <w:color w:val="auto"/>
          <w:sz w:val="24"/>
          <w:szCs w:val="24"/>
          <w:highlight w:val="none"/>
        </w:rPr>
        <w:t>2.2  竞争性比选文件的澄清</w:t>
      </w:r>
      <w:bookmarkEnd w:id="251"/>
      <w:bookmarkEnd w:id="252"/>
      <w:bookmarkEnd w:id="253"/>
      <w:bookmarkEnd w:id="254"/>
    </w:p>
    <w:p>
      <w:pPr>
        <w:autoSpaceDE w:val="0"/>
        <w:autoSpaceDN w:val="0"/>
        <w:adjustRightInd w:val="0"/>
        <w:snapToGrid w:val="0"/>
        <w:spacing w:line="360" w:lineRule="auto"/>
        <w:ind w:firstLine="420"/>
        <w:rPr>
          <w:rFonts w:ascii="宋体" w:hAnsi="宋体"/>
          <w:bCs/>
          <w:snapToGrid w:val="0"/>
          <w:color w:val="auto"/>
          <w:sz w:val="24"/>
          <w:highlight w:val="none"/>
        </w:rPr>
      </w:pPr>
      <w:bookmarkStart w:id="255" w:name="_Toc277082569"/>
      <w:bookmarkStart w:id="256" w:name="_Toc509218727"/>
      <w:bookmarkStart w:id="257" w:name="_Toc287607763"/>
      <w:bookmarkStart w:id="258" w:name="_Toc27922"/>
      <w:bookmarkStart w:id="259" w:name="_Toc224103334"/>
      <w:bookmarkStart w:id="260" w:name="_Toc430530452"/>
      <w:bookmarkStart w:id="261" w:name="_Toc287620702"/>
      <w:bookmarkStart w:id="262" w:name="_Toc200513143"/>
      <w:r>
        <w:rPr>
          <w:rFonts w:hint="eastAsia" w:ascii="宋体" w:hAnsi="宋体"/>
          <w:snapToGrid w:val="0"/>
          <w:color w:val="auto"/>
          <w:kern w:val="0"/>
          <w:szCs w:val="21"/>
          <w:highlight w:val="none"/>
        </w:rPr>
        <w:t>详见比选申请人须知前附表。</w:t>
      </w:r>
    </w:p>
    <w:p>
      <w:pPr>
        <w:autoSpaceDE w:val="0"/>
        <w:autoSpaceDN w:val="0"/>
        <w:adjustRightInd w:val="0"/>
        <w:snapToGrid w:val="0"/>
        <w:spacing w:line="360" w:lineRule="auto"/>
        <w:rPr>
          <w:rFonts w:ascii="宋体" w:hAnsi="宋体"/>
          <w:bCs/>
          <w:snapToGrid w:val="0"/>
          <w:color w:val="auto"/>
          <w:sz w:val="24"/>
          <w:highlight w:val="none"/>
        </w:rPr>
      </w:pPr>
      <w:r>
        <w:rPr>
          <w:rFonts w:ascii="宋体" w:hAnsi="宋体"/>
          <w:bCs/>
          <w:snapToGrid w:val="0"/>
          <w:color w:val="auto"/>
          <w:sz w:val="24"/>
          <w:highlight w:val="none"/>
        </w:rPr>
        <w:t>2.3  竞争性比选文件的修改</w:t>
      </w:r>
      <w:bookmarkEnd w:id="255"/>
      <w:bookmarkEnd w:id="256"/>
      <w:bookmarkEnd w:id="257"/>
      <w:bookmarkEnd w:id="258"/>
      <w:bookmarkEnd w:id="259"/>
      <w:bookmarkEnd w:id="260"/>
      <w:bookmarkEnd w:id="261"/>
      <w:bookmarkEnd w:id="262"/>
    </w:p>
    <w:p>
      <w:pPr>
        <w:autoSpaceDE w:val="0"/>
        <w:autoSpaceDN w:val="0"/>
        <w:adjustRightInd w:val="0"/>
        <w:snapToGrid w:val="0"/>
        <w:spacing w:line="360" w:lineRule="auto"/>
        <w:ind w:firstLine="420"/>
        <w:rPr>
          <w:rFonts w:ascii="宋体" w:hAnsi="宋体"/>
          <w:bCs/>
          <w:snapToGrid w:val="0"/>
          <w:color w:val="auto"/>
          <w:sz w:val="24"/>
          <w:highlight w:val="none"/>
        </w:rPr>
      </w:pPr>
      <w:bookmarkStart w:id="263" w:name="_Toc14543"/>
      <w:bookmarkStart w:id="264" w:name="_Toc287607764"/>
      <w:bookmarkStart w:id="265" w:name="_Toc430530453"/>
      <w:bookmarkStart w:id="266" w:name="_Toc509218728"/>
      <w:bookmarkStart w:id="267" w:name="_Toc287620703"/>
      <w:bookmarkStart w:id="268" w:name="_Toc224103335"/>
      <w:bookmarkStart w:id="269" w:name="_Toc200513144"/>
      <w:bookmarkStart w:id="270" w:name="_Toc277082570"/>
      <w:r>
        <w:rPr>
          <w:rFonts w:hint="eastAsia" w:ascii="宋体" w:hAnsi="宋体"/>
          <w:snapToGrid w:val="0"/>
          <w:color w:val="auto"/>
          <w:kern w:val="0"/>
          <w:szCs w:val="21"/>
          <w:highlight w:val="none"/>
        </w:rPr>
        <w:t>详见比选申请人须知前附表。</w:t>
      </w:r>
    </w:p>
    <w:p>
      <w:pPr>
        <w:pStyle w:val="4"/>
        <w:spacing w:before="0" w:after="0" w:line="360" w:lineRule="auto"/>
        <w:rPr>
          <w:rFonts w:ascii="宋体" w:hAnsi="宋体"/>
          <w:b w:val="0"/>
          <w:snapToGrid w:val="0"/>
          <w:color w:val="auto"/>
          <w:highlight w:val="none"/>
        </w:rPr>
      </w:pPr>
      <w:bookmarkStart w:id="271" w:name="_Toc8800"/>
      <w:r>
        <w:rPr>
          <w:rFonts w:ascii="宋体" w:hAnsi="宋体"/>
          <w:b w:val="0"/>
          <w:snapToGrid w:val="0"/>
          <w:color w:val="auto"/>
          <w:highlight w:val="none"/>
        </w:rPr>
        <w:t xml:space="preserve">3.  </w:t>
      </w:r>
      <w:bookmarkEnd w:id="263"/>
      <w:bookmarkEnd w:id="264"/>
      <w:bookmarkEnd w:id="265"/>
      <w:bookmarkEnd w:id="266"/>
      <w:bookmarkEnd w:id="267"/>
      <w:bookmarkEnd w:id="268"/>
      <w:bookmarkEnd w:id="269"/>
      <w:bookmarkEnd w:id="270"/>
      <w:r>
        <w:rPr>
          <w:rFonts w:hint="eastAsia" w:ascii="宋体" w:hAnsi="宋体"/>
          <w:b w:val="0"/>
          <w:snapToGrid w:val="0"/>
          <w:color w:val="auto"/>
          <w:highlight w:val="none"/>
        </w:rPr>
        <w:t>比选申请文件</w:t>
      </w:r>
      <w:bookmarkEnd w:id="271"/>
    </w:p>
    <w:p>
      <w:pPr>
        <w:pStyle w:val="5"/>
        <w:snapToGrid w:val="0"/>
        <w:spacing w:before="0" w:after="0" w:line="360" w:lineRule="auto"/>
        <w:rPr>
          <w:rFonts w:ascii="宋体" w:hAnsi="宋体"/>
          <w:b w:val="0"/>
          <w:snapToGrid w:val="0"/>
          <w:color w:val="auto"/>
          <w:sz w:val="24"/>
          <w:szCs w:val="24"/>
          <w:highlight w:val="none"/>
        </w:rPr>
      </w:pPr>
      <w:bookmarkStart w:id="272" w:name="_Toc277082571"/>
      <w:bookmarkStart w:id="273" w:name="_Toc287620704"/>
      <w:bookmarkStart w:id="274" w:name="_Toc8482"/>
      <w:bookmarkStart w:id="275" w:name="_Toc6726"/>
      <w:bookmarkStart w:id="276" w:name="_Toc287607765"/>
      <w:bookmarkStart w:id="277" w:name="_Toc200513145"/>
      <w:bookmarkStart w:id="278" w:name="_Toc430530454"/>
      <w:bookmarkStart w:id="279" w:name="_Toc509218729"/>
      <w:bookmarkStart w:id="280" w:name="_Toc224103336"/>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rPr>
        <w:t>比选申请文件</w:t>
      </w:r>
      <w:r>
        <w:rPr>
          <w:rFonts w:ascii="宋体" w:hAnsi="宋体"/>
          <w:b w:val="0"/>
          <w:snapToGrid w:val="0"/>
          <w:color w:val="auto"/>
          <w:sz w:val="24"/>
          <w:szCs w:val="24"/>
          <w:highlight w:val="none"/>
        </w:rPr>
        <w:t>的组成</w:t>
      </w:r>
      <w:bookmarkEnd w:id="272"/>
      <w:bookmarkEnd w:id="273"/>
      <w:bookmarkEnd w:id="274"/>
      <w:bookmarkEnd w:id="275"/>
      <w:bookmarkEnd w:id="276"/>
      <w:bookmarkEnd w:id="277"/>
      <w:bookmarkEnd w:id="278"/>
      <w:bookmarkEnd w:id="279"/>
      <w:bookmarkEnd w:id="28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应包括下列内容：</w:t>
      </w:r>
    </w:p>
    <w:p>
      <w:pPr>
        <w:spacing w:line="360" w:lineRule="auto"/>
        <w:ind w:firstLine="420" w:firstLineChars="200"/>
        <w:rPr>
          <w:rFonts w:ascii="宋体" w:hAnsi="宋体"/>
          <w:color w:val="auto"/>
          <w:highlight w:val="none"/>
        </w:rPr>
      </w:pPr>
      <w:r>
        <w:rPr>
          <w:rFonts w:hint="eastAsia" w:ascii="宋体" w:hAnsi="宋体"/>
          <w:color w:val="auto"/>
          <w:highlight w:val="none"/>
        </w:rPr>
        <w:t>3.1.1.2比选申请函部分</w:t>
      </w:r>
    </w:p>
    <w:p>
      <w:pPr>
        <w:spacing w:line="360" w:lineRule="auto"/>
        <w:ind w:firstLine="420" w:firstLineChars="200"/>
        <w:rPr>
          <w:rFonts w:ascii="宋体" w:hAnsi="宋体"/>
          <w:color w:val="auto"/>
          <w:highlight w:val="none"/>
        </w:rPr>
      </w:pPr>
      <w:r>
        <w:rPr>
          <w:rFonts w:hint="eastAsia" w:ascii="宋体" w:hAnsi="宋体"/>
          <w:color w:val="auto"/>
          <w:highlight w:val="none"/>
        </w:rPr>
        <w:t>（1）比选申请函</w:t>
      </w:r>
    </w:p>
    <w:p>
      <w:pPr>
        <w:spacing w:line="360" w:lineRule="auto"/>
        <w:ind w:firstLine="420" w:firstLineChars="200"/>
        <w:rPr>
          <w:rFonts w:ascii="宋体" w:hAnsi="宋体"/>
          <w:color w:val="auto"/>
          <w:highlight w:val="none"/>
        </w:rPr>
      </w:pPr>
      <w:r>
        <w:rPr>
          <w:rFonts w:hint="eastAsia" w:ascii="宋体" w:hAnsi="宋体"/>
          <w:color w:val="auto"/>
          <w:highlight w:val="none"/>
        </w:rPr>
        <w:t>（2）比选申请函附录</w:t>
      </w:r>
    </w:p>
    <w:p>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pPr>
        <w:spacing w:line="360" w:lineRule="auto"/>
        <w:ind w:firstLine="420" w:firstLineChars="200"/>
        <w:rPr>
          <w:rFonts w:ascii="宋体" w:hAnsi="宋体"/>
          <w:color w:val="auto"/>
          <w:highlight w:val="none"/>
        </w:rPr>
      </w:pPr>
      <w:r>
        <w:rPr>
          <w:rFonts w:hint="eastAsia" w:ascii="宋体" w:hAnsi="宋体"/>
          <w:color w:val="auto"/>
          <w:highlight w:val="none"/>
        </w:rPr>
        <w:t>（4）低价风险担保提交承诺书（如有）</w:t>
      </w:r>
    </w:p>
    <w:p>
      <w:pPr>
        <w:spacing w:line="360" w:lineRule="auto"/>
        <w:ind w:firstLine="420" w:firstLineChars="200"/>
        <w:rPr>
          <w:rFonts w:ascii="宋体" w:hAnsi="宋体"/>
          <w:color w:val="auto"/>
          <w:highlight w:val="none"/>
        </w:rPr>
      </w:pPr>
      <w:r>
        <w:rPr>
          <w:rFonts w:hint="eastAsia" w:ascii="宋体" w:hAnsi="宋体"/>
          <w:color w:val="auto"/>
          <w:highlight w:val="none"/>
        </w:rPr>
        <w:t>3.1.1.3经济部分</w:t>
      </w:r>
    </w:p>
    <w:p>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pPr>
        <w:spacing w:line="360" w:lineRule="auto"/>
        <w:ind w:firstLine="420" w:firstLineChars="200"/>
        <w:rPr>
          <w:rFonts w:ascii="宋体" w:hAnsi="宋体"/>
          <w:color w:val="auto"/>
          <w:highlight w:val="none"/>
        </w:rPr>
      </w:pPr>
      <w:r>
        <w:rPr>
          <w:rFonts w:hint="eastAsia" w:ascii="宋体" w:hAnsi="宋体"/>
          <w:color w:val="auto"/>
          <w:highlight w:val="none"/>
        </w:rPr>
        <w:t>3.1.1.4技术部分</w:t>
      </w:r>
    </w:p>
    <w:p>
      <w:pPr>
        <w:spacing w:line="360" w:lineRule="auto"/>
        <w:ind w:firstLine="420" w:firstLineChars="200"/>
        <w:rPr>
          <w:rFonts w:ascii="宋体" w:hAnsi="宋体"/>
          <w:color w:val="auto"/>
          <w:highlight w:val="none"/>
        </w:rPr>
      </w:pPr>
      <w:r>
        <w:rPr>
          <w:rFonts w:hint="eastAsia" w:ascii="宋体" w:hAnsi="宋体"/>
          <w:color w:val="auto"/>
          <w:highlight w:val="none"/>
        </w:rPr>
        <w:t>3.1.1.5资格审查部分</w:t>
      </w:r>
    </w:p>
    <w:p>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pPr>
        <w:spacing w:line="360" w:lineRule="auto"/>
        <w:ind w:firstLine="420" w:firstLineChars="200"/>
        <w:rPr>
          <w:rFonts w:ascii="宋体" w:hAnsi="宋体"/>
          <w:color w:val="auto"/>
          <w:highlight w:val="none"/>
        </w:rPr>
      </w:pPr>
      <w:r>
        <w:rPr>
          <w:rFonts w:hint="eastAsia" w:ascii="宋体" w:hAnsi="宋体"/>
          <w:color w:val="auto"/>
          <w:highlight w:val="none"/>
        </w:rPr>
        <w:t>（2）比选申请人基本情况表</w:t>
      </w:r>
    </w:p>
    <w:p>
      <w:pPr>
        <w:spacing w:line="360" w:lineRule="auto"/>
        <w:ind w:firstLine="420" w:firstLineChars="200"/>
        <w:rPr>
          <w:rFonts w:ascii="宋体" w:hAnsi="宋体"/>
          <w:color w:val="auto"/>
          <w:highlight w:val="none"/>
        </w:rPr>
      </w:pPr>
      <w:r>
        <w:rPr>
          <w:rFonts w:hint="eastAsia" w:ascii="宋体" w:hAnsi="宋体"/>
          <w:color w:val="auto"/>
          <w:highlight w:val="none"/>
        </w:rPr>
        <w:t>（3）项目管理机构</w:t>
      </w:r>
    </w:p>
    <w:p>
      <w:pPr>
        <w:spacing w:line="360" w:lineRule="auto"/>
        <w:ind w:firstLine="420" w:firstLineChars="200"/>
        <w:rPr>
          <w:rFonts w:ascii="宋体" w:hAnsi="宋体"/>
          <w:color w:val="auto"/>
          <w:highlight w:val="none"/>
        </w:rPr>
      </w:pPr>
      <w:r>
        <w:rPr>
          <w:rFonts w:hint="eastAsia" w:ascii="宋体" w:hAnsi="宋体"/>
          <w:color w:val="auto"/>
          <w:highlight w:val="none"/>
        </w:rPr>
        <w:t>（4）承诺</w:t>
      </w:r>
    </w:p>
    <w:p>
      <w:pPr>
        <w:spacing w:line="360" w:lineRule="auto"/>
        <w:ind w:firstLine="420" w:firstLineChars="200"/>
        <w:rPr>
          <w:rFonts w:ascii="宋体" w:hAnsi="宋体"/>
          <w:color w:val="auto"/>
          <w:highlight w:val="none"/>
        </w:rPr>
      </w:pPr>
      <w:r>
        <w:rPr>
          <w:rFonts w:hint="eastAsia" w:ascii="宋体" w:hAnsi="宋体"/>
          <w:color w:val="auto"/>
          <w:highlight w:val="none"/>
        </w:rPr>
        <w:t>（5）其他资料</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比选申请人须知前附表规定不接受联合体投标的，或比选申请人没有组成联合体的，</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不包括联合体协议书。</w:t>
      </w:r>
    </w:p>
    <w:p>
      <w:pPr>
        <w:pStyle w:val="5"/>
        <w:snapToGrid w:val="0"/>
        <w:spacing w:before="0" w:after="0" w:line="360" w:lineRule="auto"/>
        <w:rPr>
          <w:rFonts w:ascii="宋体" w:hAnsi="宋体"/>
          <w:b w:val="0"/>
          <w:snapToGrid w:val="0"/>
          <w:color w:val="auto"/>
          <w:sz w:val="24"/>
          <w:szCs w:val="24"/>
          <w:highlight w:val="none"/>
        </w:rPr>
      </w:pPr>
      <w:bookmarkStart w:id="281" w:name="_Toc11028"/>
      <w:bookmarkStart w:id="282" w:name="_Toc287607766"/>
      <w:bookmarkStart w:id="283" w:name="_Toc26151"/>
      <w:bookmarkStart w:id="284" w:name="_Toc430530455"/>
      <w:bookmarkStart w:id="285" w:name="_Toc224103337"/>
      <w:bookmarkStart w:id="286" w:name="_Toc509218730"/>
      <w:bookmarkStart w:id="287" w:name="_Toc277082572"/>
      <w:bookmarkStart w:id="288" w:name="_Toc200513146"/>
      <w:bookmarkStart w:id="289" w:name="_Toc287620705"/>
      <w:r>
        <w:rPr>
          <w:rFonts w:ascii="宋体" w:hAnsi="宋体"/>
          <w:b w:val="0"/>
          <w:snapToGrid w:val="0"/>
          <w:color w:val="auto"/>
          <w:sz w:val="24"/>
          <w:szCs w:val="24"/>
          <w:highlight w:val="none"/>
        </w:rPr>
        <w:t>3.2  投标报价</w:t>
      </w:r>
      <w:bookmarkEnd w:id="281"/>
      <w:bookmarkEnd w:id="282"/>
      <w:bookmarkEnd w:id="283"/>
      <w:bookmarkEnd w:id="284"/>
      <w:bookmarkEnd w:id="285"/>
      <w:bookmarkEnd w:id="286"/>
      <w:bookmarkEnd w:id="287"/>
      <w:bookmarkEnd w:id="288"/>
      <w:bookmarkEnd w:id="28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比选申请人应按第五章“工程量清单”的要求填写相应表格。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比选申请人在投标截止时间前修改</w:t>
      </w:r>
      <w:r>
        <w:rPr>
          <w:rFonts w:hint="eastAsia" w:ascii="宋体" w:hAnsi="宋体"/>
          <w:snapToGrid w:val="0"/>
          <w:color w:val="auto"/>
          <w:kern w:val="0"/>
          <w:szCs w:val="21"/>
          <w:highlight w:val="none"/>
        </w:rPr>
        <w:t>比选申请函</w:t>
      </w:r>
      <w:r>
        <w:rPr>
          <w:rFonts w:ascii="宋体" w:hAnsi="宋体"/>
          <w:snapToGrid w:val="0"/>
          <w:color w:val="auto"/>
          <w:kern w:val="0"/>
          <w:szCs w:val="21"/>
          <w:highlight w:val="none"/>
        </w:rPr>
        <w:t>中的投标总报价，应同时修改第五章“工程量清单”中的相应报价。此修改须符合本章第 4.3 款的有关要求。</w:t>
      </w:r>
    </w:p>
    <w:p>
      <w:pPr>
        <w:pStyle w:val="5"/>
        <w:snapToGrid w:val="0"/>
        <w:spacing w:before="0" w:after="0" w:line="360" w:lineRule="auto"/>
        <w:rPr>
          <w:rFonts w:ascii="宋体" w:hAnsi="宋体"/>
          <w:b w:val="0"/>
          <w:snapToGrid w:val="0"/>
          <w:color w:val="auto"/>
          <w:sz w:val="24"/>
          <w:szCs w:val="24"/>
          <w:highlight w:val="none"/>
        </w:rPr>
      </w:pPr>
      <w:bookmarkStart w:id="290" w:name="_Toc287620706"/>
      <w:bookmarkStart w:id="291" w:name="_Toc430530456"/>
      <w:bookmarkStart w:id="292" w:name="_Toc277082573"/>
      <w:bookmarkStart w:id="293" w:name="_Toc200513147"/>
      <w:bookmarkStart w:id="294" w:name="_Toc26999"/>
      <w:bookmarkStart w:id="295" w:name="_Toc224103338"/>
      <w:bookmarkStart w:id="296" w:name="_Toc509218731"/>
      <w:bookmarkStart w:id="297" w:name="_Toc287607767"/>
      <w:bookmarkStart w:id="298" w:name="_Toc4304"/>
      <w:r>
        <w:rPr>
          <w:rFonts w:ascii="宋体" w:hAnsi="宋体"/>
          <w:b w:val="0"/>
          <w:snapToGrid w:val="0"/>
          <w:color w:val="auto"/>
          <w:sz w:val="24"/>
          <w:szCs w:val="24"/>
          <w:highlight w:val="none"/>
        </w:rPr>
        <w:t>3.3  投标有效期</w:t>
      </w:r>
      <w:bookmarkEnd w:id="290"/>
      <w:bookmarkEnd w:id="291"/>
      <w:bookmarkEnd w:id="292"/>
      <w:bookmarkEnd w:id="293"/>
      <w:bookmarkEnd w:id="294"/>
      <w:bookmarkEnd w:id="295"/>
      <w:bookmarkEnd w:id="296"/>
      <w:bookmarkEnd w:id="297"/>
      <w:bookmarkEnd w:id="298"/>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在比选申请人须知前附表规定的投标有效期内，比选申请人不得要求撤销或修改其</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3.3.2  </w:t>
      </w:r>
      <w:r>
        <w:rPr>
          <w:rFonts w:hint="eastAsia" w:ascii="宋体" w:hAnsi="宋体" w:cs="MingLiU"/>
          <w:snapToGrid w:val="0"/>
          <w:color w:val="auto"/>
          <w:kern w:val="0"/>
          <w:szCs w:val="21"/>
          <w:highlight w:val="none"/>
        </w:rPr>
        <w:t>出现特殊情况需要延长投标有效期的，比选人以书面形式通知所有比选申请人延长投标有效期。比选申请人同意延长的，应相应延长其投标保证金的有效期，但不得要求或被允许修改或撤销其比选申请文件；比选申请人拒绝延长的，其投标失效，但比选申请人有权收回其投标保证金。（适用于投标保证金采用银行转账形式的）</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299" w:name="_Toc430530457"/>
      <w:bookmarkStart w:id="300" w:name="_Toc509218732"/>
      <w:bookmarkStart w:id="301" w:name="_Toc287620707"/>
      <w:bookmarkStart w:id="302" w:name="_Toc287607768"/>
      <w:bookmarkStart w:id="303" w:name="_Toc224103339"/>
      <w:bookmarkStart w:id="304" w:name="_Toc200513148"/>
      <w:bookmarkStart w:id="305" w:name="_Toc277082574"/>
      <w:bookmarkStart w:id="306" w:name="_Toc1366"/>
      <w:bookmarkStart w:id="307" w:name="_Toc26017"/>
      <w:r>
        <w:rPr>
          <w:rFonts w:ascii="宋体" w:hAnsi="宋体"/>
          <w:b w:val="0"/>
          <w:snapToGrid w:val="0"/>
          <w:color w:val="auto"/>
          <w:sz w:val="24"/>
          <w:szCs w:val="24"/>
          <w:highlight w:val="none"/>
        </w:rPr>
        <w:t xml:space="preserve">3.4  </w:t>
      </w:r>
      <w:bookmarkEnd w:id="299"/>
      <w:bookmarkEnd w:id="300"/>
      <w:bookmarkEnd w:id="301"/>
      <w:bookmarkEnd w:id="302"/>
      <w:bookmarkEnd w:id="303"/>
      <w:bookmarkEnd w:id="304"/>
      <w:bookmarkEnd w:id="305"/>
      <w:r>
        <w:rPr>
          <w:rFonts w:ascii="宋体" w:hAnsi="宋体"/>
          <w:b w:val="0"/>
          <w:snapToGrid w:val="0"/>
          <w:color w:val="auto"/>
          <w:sz w:val="24"/>
          <w:szCs w:val="24"/>
          <w:highlight w:val="none"/>
        </w:rPr>
        <w:t>投标</w:t>
      </w:r>
      <w:bookmarkEnd w:id="306"/>
      <w:r>
        <w:rPr>
          <w:rFonts w:hint="eastAsia" w:ascii="宋体" w:hAnsi="宋体"/>
          <w:b w:val="0"/>
          <w:snapToGrid w:val="0"/>
          <w:color w:val="auto"/>
          <w:sz w:val="24"/>
          <w:szCs w:val="24"/>
          <w:highlight w:val="none"/>
        </w:rPr>
        <w:t>保证金</w:t>
      </w:r>
      <w:bookmarkEnd w:id="30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比选申请人在递交</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的同时，应按比选申请人须知前附表的规定递交投标保证金，</w:t>
      </w:r>
      <w:r>
        <w:rPr>
          <w:rFonts w:hint="eastAsia" w:ascii="宋体" w:hAnsi="宋体"/>
          <w:snapToGrid w:val="0"/>
          <w:color w:val="auto"/>
          <w:kern w:val="0"/>
          <w:szCs w:val="21"/>
          <w:highlight w:val="none"/>
        </w:rPr>
        <w:t>且在投标函中的</w:t>
      </w:r>
      <w:r>
        <w:rPr>
          <w:rFonts w:ascii="宋体" w:hAnsi="宋体"/>
          <w:snapToGrid w:val="0"/>
          <w:color w:val="auto"/>
          <w:kern w:val="0"/>
          <w:szCs w:val="21"/>
          <w:highlight w:val="none"/>
        </w:rPr>
        <w:t>其他补充说明</w:t>
      </w:r>
      <w:r>
        <w:rPr>
          <w:rFonts w:hint="eastAsia" w:ascii="宋体" w:hAnsi="宋体"/>
          <w:snapToGrid w:val="0"/>
          <w:color w:val="auto"/>
          <w:kern w:val="0"/>
          <w:szCs w:val="21"/>
          <w:highlight w:val="none"/>
        </w:rPr>
        <w:t>中注明，本项目投标保证金受益人为比选人，</w:t>
      </w:r>
      <w:r>
        <w:rPr>
          <w:rFonts w:ascii="宋体" w:hAnsi="宋体"/>
          <w:snapToGrid w:val="0"/>
          <w:color w:val="auto"/>
          <w:kern w:val="0"/>
          <w:szCs w:val="21"/>
          <w:highlight w:val="none"/>
        </w:rPr>
        <w:t>并作为其</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的组成部分</w:t>
      </w:r>
      <w:r>
        <w:rPr>
          <w:rFonts w:hint="eastAsia" w:ascii="宋体" w:hAnsi="宋体"/>
          <w:snapToGrid w:val="0"/>
          <w:color w:val="auto"/>
          <w:kern w:val="0"/>
          <w:szCs w:val="21"/>
          <w:highlight w:val="none"/>
        </w:rPr>
        <w:t>，否.则视为不响.应比选文件要求。</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比选申请人不按本章第 3.4.1 项要求提交投标保证金的，其</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作否决投标处理。</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退还：见比选申请人须知前附表</w:t>
      </w:r>
      <w:r>
        <w:rPr>
          <w:rFonts w:ascii="宋体" w:hAnsi="宋体"/>
          <w:snapToGrid w:val="0"/>
          <w:color w:val="auto"/>
          <w:kern w:val="0"/>
          <w:position w:val="-2"/>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（1）比选申请人在规定的投标有效期内撤销或修改其</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中标人在收到中标通知书后，无正当理由不与比选人订立合同，在签订合同时向比选人提出附加条件，或者不按照竞争性比选文件要求提交履约保证金</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rPr>
        <w:t>中标人（或拟中标人）拒不提供或者不按时提供低价风险担保（适用于经评审的最低投标价法）；</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对比选申请人的纪律要求的；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（2）投标保证金的受益人为比选人</w:t>
      </w:r>
      <w:r>
        <w:rPr>
          <w:rFonts w:hint="eastAsia" w:ascii="宋体" w:hAnsi="宋体"/>
          <w:color w:val="auto"/>
          <w:kern w:val="0"/>
          <w:highlight w:val="none"/>
        </w:rPr>
        <w:t>。</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08" w:name="_Toc430530459"/>
      <w:bookmarkStart w:id="309" w:name="_Toc287620709"/>
      <w:bookmarkStart w:id="310" w:name="_Toc509218734"/>
      <w:bookmarkStart w:id="311" w:name="_Toc200513150"/>
      <w:bookmarkStart w:id="312" w:name="_Toc28163"/>
      <w:bookmarkStart w:id="313" w:name="_Toc287607770"/>
      <w:bookmarkStart w:id="314" w:name="_Toc277082576"/>
      <w:bookmarkStart w:id="315" w:name="_Toc16639"/>
      <w:bookmarkStart w:id="316" w:name="_Toc224103341"/>
      <w:r>
        <w:rPr>
          <w:rFonts w:ascii="宋体" w:hAnsi="宋体"/>
          <w:b w:val="0"/>
          <w:snapToGrid w:val="0"/>
          <w:color w:val="auto"/>
          <w:sz w:val="24"/>
          <w:szCs w:val="24"/>
          <w:highlight w:val="none"/>
        </w:rPr>
        <w:t>3.5资格审查资料</w:t>
      </w:r>
      <w:bookmarkEnd w:id="308"/>
      <w:bookmarkEnd w:id="309"/>
      <w:bookmarkEnd w:id="310"/>
      <w:bookmarkEnd w:id="311"/>
      <w:bookmarkEnd w:id="312"/>
      <w:bookmarkEnd w:id="313"/>
      <w:bookmarkEnd w:id="314"/>
      <w:bookmarkEnd w:id="315"/>
      <w:bookmarkEnd w:id="316"/>
    </w:p>
    <w:p>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比选申请人</w:t>
      </w:r>
      <w:r>
        <w:rPr>
          <w:rFonts w:hint="eastAsia" w:ascii="宋体" w:hAnsi="宋体"/>
          <w:color w:val="auto"/>
          <w:szCs w:val="21"/>
          <w:highlight w:val="none"/>
        </w:rPr>
        <w:t>应附</w:t>
      </w:r>
      <w:r>
        <w:rPr>
          <w:rFonts w:hint="eastAsia" w:ascii="宋体" w:hAnsi="宋体"/>
          <w:color w:val="auto"/>
          <w:kern w:val="0"/>
          <w:szCs w:val="21"/>
          <w:highlight w:val="none"/>
        </w:rPr>
        <w:t>比选申请人须知前附表第1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pPr>
        <w:pStyle w:val="5"/>
        <w:snapToGrid w:val="0"/>
        <w:spacing w:before="0" w:after="0" w:line="360" w:lineRule="auto"/>
        <w:rPr>
          <w:rFonts w:ascii="宋体" w:hAnsi="宋体"/>
          <w:b w:val="0"/>
          <w:snapToGrid w:val="0"/>
          <w:color w:val="auto"/>
          <w:sz w:val="24"/>
          <w:szCs w:val="24"/>
          <w:highlight w:val="none"/>
        </w:rPr>
      </w:pPr>
      <w:bookmarkStart w:id="317" w:name="_Toc287620710"/>
      <w:bookmarkStart w:id="318" w:name="_Toc277082577"/>
      <w:bookmarkStart w:id="319" w:name="_Toc509218735"/>
      <w:bookmarkStart w:id="320" w:name="_Toc24446"/>
      <w:bookmarkStart w:id="321" w:name="_Toc28840"/>
      <w:bookmarkStart w:id="322" w:name="_Toc430530460"/>
      <w:bookmarkStart w:id="323" w:name="_Toc200513151"/>
      <w:bookmarkStart w:id="324" w:name="_Toc287607771"/>
      <w:bookmarkStart w:id="325" w:name="_Toc224103342"/>
      <w:r>
        <w:rPr>
          <w:rFonts w:ascii="宋体" w:hAnsi="宋体"/>
          <w:b w:val="0"/>
          <w:snapToGrid w:val="0"/>
          <w:color w:val="auto"/>
          <w:sz w:val="24"/>
          <w:szCs w:val="24"/>
          <w:highlight w:val="none"/>
        </w:rPr>
        <w:t>3.6  备选投标方案</w:t>
      </w:r>
      <w:bookmarkEnd w:id="317"/>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除比选申请人须知前附表另有规定外，比选申请人不得递交备选投标方案。允许比选申请人递交备选投标方案的，只有中标人所递交的备选投标方案方可予以考虑。评标委员会认为中标人的备 选投标方案优于其按照竞争性比选文件要求编制的投标方案的，比选人可以接受该备选投标方案。</w:t>
      </w:r>
    </w:p>
    <w:p>
      <w:pPr>
        <w:pStyle w:val="5"/>
        <w:snapToGrid w:val="0"/>
        <w:spacing w:before="0" w:after="0" w:line="360" w:lineRule="auto"/>
        <w:rPr>
          <w:rFonts w:ascii="宋体" w:hAnsi="宋体"/>
          <w:b w:val="0"/>
          <w:snapToGrid w:val="0"/>
          <w:color w:val="auto"/>
          <w:sz w:val="24"/>
          <w:szCs w:val="24"/>
          <w:highlight w:val="none"/>
        </w:rPr>
      </w:pPr>
      <w:bookmarkStart w:id="326" w:name="_Toc287620711"/>
      <w:bookmarkStart w:id="327" w:name="_Toc287607772"/>
      <w:bookmarkStart w:id="328" w:name="_Toc224103343"/>
      <w:bookmarkStart w:id="329" w:name="_Toc509218736"/>
      <w:bookmarkStart w:id="330" w:name="_Toc200513152"/>
      <w:bookmarkStart w:id="331" w:name="_Toc277082578"/>
      <w:bookmarkStart w:id="332" w:name="_Toc16951"/>
      <w:bookmarkStart w:id="333" w:name="_Toc7689"/>
      <w:bookmarkStart w:id="334" w:name="_Toc430530461"/>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rPr>
        <w:t>比选申请文件</w:t>
      </w:r>
      <w:r>
        <w:rPr>
          <w:rFonts w:ascii="宋体" w:hAnsi="宋体"/>
          <w:b w:val="0"/>
          <w:snapToGrid w:val="0"/>
          <w:color w:val="auto"/>
          <w:sz w:val="24"/>
          <w:szCs w:val="24"/>
          <w:highlight w:val="none"/>
        </w:rPr>
        <w:t>的编制</w:t>
      </w:r>
      <w:bookmarkEnd w:id="326"/>
      <w:bookmarkEnd w:id="327"/>
      <w:bookmarkEnd w:id="328"/>
      <w:bookmarkEnd w:id="329"/>
      <w:bookmarkEnd w:id="330"/>
      <w:bookmarkEnd w:id="331"/>
      <w:bookmarkEnd w:id="332"/>
      <w:bookmarkEnd w:id="333"/>
      <w:bookmarkEnd w:id="33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应按第八章“</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的组成部分。其中，</w:t>
      </w:r>
      <w:r>
        <w:rPr>
          <w:rFonts w:hint="eastAsia" w:ascii="宋体" w:hAnsi="宋体"/>
          <w:snapToGrid w:val="0"/>
          <w:color w:val="auto"/>
          <w:kern w:val="0"/>
          <w:szCs w:val="21"/>
          <w:highlight w:val="none"/>
        </w:rPr>
        <w:t>比选申请函</w:t>
      </w:r>
      <w:r>
        <w:rPr>
          <w:rFonts w:ascii="宋体" w:hAnsi="宋体"/>
          <w:snapToGrid w:val="0"/>
          <w:color w:val="auto"/>
          <w:kern w:val="0"/>
          <w:szCs w:val="21"/>
          <w:highlight w:val="none"/>
        </w:rPr>
        <w:t>附录在满足竞争性比选文件实质性要求的基础上，可以提出比竞争性比选文件要求更有利于比选人的承诺。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应当对竞争性比选文件有关工期、投标有效期、质量要求、技术标准和要求、比选范围等实质性内容做出响应。</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比选申请文件的签名盖章要求：按本章比选申请人须知前附表第3.7.3项执行。</w:t>
      </w:r>
    </w:p>
    <w:p>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见比选申请人须知前附表，《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p>
    <w:p>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的正本与副本应分别装订成册，并编制目录，具体装订要求见比选申请人须知前附表规定。</w:t>
      </w:r>
    </w:p>
    <w:p>
      <w:pPr>
        <w:pStyle w:val="4"/>
        <w:keepNext w:val="0"/>
        <w:keepLines w:val="0"/>
        <w:spacing w:before="0" w:after="0" w:line="360" w:lineRule="auto"/>
        <w:rPr>
          <w:rFonts w:ascii="宋体" w:hAnsi="宋体"/>
          <w:b w:val="0"/>
          <w:snapToGrid w:val="0"/>
          <w:color w:val="auto"/>
          <w:highlight w:val="none"/>
        </w:rPr>
      </w:pPr>
      <w:bookmarkStart w:id="335" w:name="_Toc200513153"/>
      <w:bookmarkStart w:id="336" w:name="_Toc277082579"/>
      <w:bookmarkStart w:id="337" w:name="_Toc224103344"/>
      <w:bookmarkStart w:id="338" w:name="_Toc430530462"/>
      <w:bookmarkStart w:id="339" w:name="_Toc287607773"/>
      <w:bookmarkStart w:id="340" w:name="_Toc509218737"/>
      <w:bookmarkStart w:id="341" w:name="_Toc7140"/>
      <w:bookmarkStart w:id="342" w:name="_Toc9499"/>
      <w:bookmarkStart w:id="343" w:name="_Toc287620712"/>
      <w:r>
        <w:rPr>
          <w:rFonts w:ascii="宋体" w:hAnsi="宋体"/>
          <w:b w:val="0"/>
          <w:snapToGrid w:val="0"/>
          <w:color w:val="auto"/>
          <w:highlight w:val="none"/>
        </w:rPr>
        <w:t>4.  投标</w:t>
      </w:r>
      <w:bookmarkEnd w:id="335"/>
      <w:bookmarkEnd w:id="336"/>
      <w:bookmarkEnd w:id="337"/>
      <w:bookmarkEnd w:id="338"/>
      <w:bookmarkEnd w:id="339"/>
      <w:bookmarkEnd w:id="340"/>
      <w:bookmarkEnd w:id="341"/>
      <w:bookmarkEnd w:id="342"/>
      <w:bookmarkEnd w:id="343"/>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44" w:name="_Toc18995"/>
      <w:bookmarkStart w:id="345" w:name="_Toc509218738"/>
      <w:bookmarkStart w:id="346" w:name="_Toc24202"/>
      <w:bookmarkStart w:id="347" w:name="_Toc224103345"/>
      <w:bookmarkStart w:id="348" w:name="_Toc277082580"/>
      <w:bookmarkStart w:id="349" w:name="_Toc200513154"/>
      <w:bookmarkStart w:id="350" w:name="_Toc287620713"/>
      <w:bookmarkStart w:id="351" w:name="_Toc430530463"/>
      <w:bookmarkStart w:id="352" w:name="_Toc287607774"/>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rPr>
        <w:t>比选申请文件</w:t>
      </w:r>
      <w:r>
        <w:rPr>
          <w:rFonts w:ascii="宋体" w:hAnsi="宋体"/>
          <w:b w:val="0"/>
          <w:snapToGrid w:val="0"/>
          <w:color w:val="auto"/>
          <w:sz w:val="24"/>
          <w:szCs w:val="24"/>
          <w:highlight w:val="none"/>
        </w:rPr>
        <w:t>的密封和标记</w:t>
      </w:r>
      <w:bookmarkEnd w:id="344"/>
      <w:bookmarkEnd w:id="345"/>
      <w:bookmarkEnd w:id="346"/>
      <w:bookmarkEnd w:id="347"/>
      <w:bookmarkEnd w:id="348"/>
      <w:bookmarkEnd w:id="349"/>
      <w:bookmarkEnd w:id="350"/>
      <w:bookmarkEnd w:id="351"/>
      <w:bookmarkEnd w:id="35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53"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见比选申请人须知前附表。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见比选申请人须知前附表。</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54" w:name="_Toc430530464"/>
      <w:bookmarkStart w:id="355" w:name="_Toc509218739"/>
      <w:bookmarkStart w:id="356" w:name="_Toc277082581"/>
      <w:bookmarkStart w:id="357" w:name="_Toc224103346"/>
      <w:bookmarkStart w:id="358" w:name="_Toc14181"/>
      <w:bookmarkStart w:id="359" w:name="_Toc25809"/>
      <w:bookmarkStart w:id="360" w:name="_Toc287620714"/>
      <w:bookmarkStart w:id="361" w:name="_Toc287607775"/>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rPr>
        <w:t>比选申请文件</w:t>
      </w:r>
      <w:r>
        <w:rPr>
          <w:rFonts w:ascii="宋体" w:hAnsi="宋体"/>
          <w:b w:val="0"/>
          <w:snapToGrid w:val="0"/>
          <w:color w:val="auto"/>
          <w:sz w:val="24"/>
          <w:szCs w:val="24"/>
          <w:highlight w:val="none"/>
        </w:rPr>
        <w:t>的递交</w:t>
      </w:r>
      <w:bookmarkEnd w:id="353"/>
      <w:bookmarkEnd w:id="354"/>
      <w:bookmarkEnd w:id="355"/>
      <w:bookmarkEnd w:id="356"/>
      <w:bookmarkEnd w:id="357"/>
      <w:bookmarkEnd w:id="358"/>
      <w:bookmarkEnd w:id="359"/>
      <w:bookmarkEnd w:id="360"/>
      <w:bookmarkEnd w:id="36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比选申请人应在比选申请人须知前附表第 2.2.2 项规定的投标截止时间前递交</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比选申请人递交</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的地点：见比选申请人须知前附表。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除比选申请人须知前附表另有规定外，比选申请人所递交的</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不予退还。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比选人收到</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后，向比选申请人出具签收凭证。</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，比选人不予受理。</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62" w:name="_Toc224103347"/>
      <w:bookmarkStart w:id="363" w:name="_Toc287620715"/>
      <w:bookmarkStart w:id="364" w:name="_Toc430530465"/>
      <w:bookmarkStart w:id="365" w:name="_Toc200513156"/>
      <w:bookmarkStart w:id="366" w:name="_Toc509218740"/>
      <w:bookmarkStart w:id="367" w:name="_Toc287607776"/>
      <w:bookmarkStart w:id="368" w:name="_Toc2590"/>
      <w:bookmarkStart w:id="369" w:name="_Toc23986"/>
      <w:bookmarkStart w:id="370" w:name="_Toc277082582"/>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rPr>
        <w:t>比选申请文件</w:t>
      </w:r>
      <w:r>
        <w:rPr>
          <w:rFonts w:ascii="宋体" w:hAnsi="宋体"/>
          <w:b w:val="0"/>
          <w:snapToGrid w:val="0"/>
          <w:color w:val="auto"/>
          <w:sz w:val="24"/>
          <w:szCs w:val="24"/>
          <w:highlight w:val="none"/>
        </w:rPr>
        <w:t>的修改与撤回</w:t>
      </w:r>
      <w:bookmarkEnd w:id="362"/>
      <w:bookmarkEnd w:id="363"/>
      <w:bookmarkEnd w:id="364"/>
      <w:bookmarkEnd w:id="365"/>
      <w:bookmarkEnd w:id="366"/>
      <w:bookmarkEnd w:id="367"/>
      <w:bookmarkEnd w:id="368"/>
      <w:bookmarkEnd w:id="369"/>
      <w:bookmarkEnd w:id="37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在比选申请人须知前附表第2.2.2项规定的投标截止时间前，比选申请人可以修改或撤回已递交的</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，但应以书面形式通知比选人。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比选申请人修改或撤回已递交</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或盖章。比选人收到书面通知后，向比选申请人出具签收凭证。</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应按照本章第3条、第4条规定进行编制、密封、标记和递交，并标明“修改”字样。</w:t>
      </w:r>
    </w:p>
    <w:p>
      <w:pPr>
        <w:pStyle w:val="4"/>
        <w:keepNext w:val="0"/>
        <w:keepLines w:val="0"/>
        <w:spacing w:before="0" w:after="0" w:line="360" w:lineRule="auto"/>
        <w:rPr>
          <w:rFonts w:ascii="宋体" w:hAnsi="宋体"/>
          <w:b w:val="0"/>
          <w:snapToGrid w:val="0"/>
          <w:color w:val="auto"/>
          <w:highlight w:val="none"/>
        </w:rPr>
      </w:pPr>
      <w:bookmarkStart w:id="371" w:name="_Toc9614"/>
      <w:bookmarkStart w:id="372" w:name="_Toc200513157"/>
      <w:bookmarkStart w:id="373" w:name="_Toc277082583"/>
      <w:bookmarkStart w:id="374" w:name="_Toc430530466"/>
      <w:bookmarkStart w:id="375" w:name="_Toc287607777"/>
      <w:bookmarkStart w:id="376" w:name="_Toc31489"/>
      <w:bookmarkStart w:id="377" w:name="_Toc287620716"/>
      <w:bookmarkStart w:id="378" w:name="_Toc509218741"/>
      <w:bookmarkStart w:id="379" w:name="_Toc224103348"/>
      <w:r>
        <w:rPr>
          <w:rFonts w:ascii="宋体" w:hAnsi="宋体"/>
          <w:b w:val="0"/>
          <w:snapToGrid w:val="0"/>
          <w:color w:val="auto"/>
          <w:highlight w:val="none"/>
        </w:rPr>
        <w:t>5.  开标</w:t>
      </w:r>
      <w:bookmarkEnd w:id="371"/>
      <w:bookmarkEnd w:id="372"/>
      <w:bookmarkEnd w:id="373"/>
      <w:bookmarkEnd w:id="374"/>
      <w:bookmarkEnd w:id="375"/>
      <w:bookmarkEnd w:id="376"/>
      <w:bookmarkEnd w:id="377"/>
      <w:bookmarkEnd w:id="378"/>
      <w:bookmarkEnd w:id="379"/>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80" w:name="_Toc277082584"/>
      <w:bookmarkStart w:id="381" w:name="_Toc287607778"/>
      <w:bookmarkStart w:id="382" w:name="_Toc20593"/>
      <w:bookmarkStart w:id="383" w:name="_Toc509218742"/>
      <w:bookmarkStart w:id="384" w:name="_Toc200513158"/>
      <w:bookmarkStart w:id="385" w:name="_Toc287620717"/>
      <w:bookmarkStart w:id="386" w:name="_Toc430530467"/>
      <w:bookmarkStart w:id="387" w:name="_Toc224103349"/>
      <w:bookmarkStart w:id="388" w:name="_Toc10848"/>
      <w:r>
        <w:rPr>
          <w:rFonts w:ascii="宋体" w:hAnsi="宋体"/>
          <w:b w:val="0"/>
          <w:snapToGrid w:val="0"/>
          <w:color w:val="auto"/>
          <w:sz w:val="24"/>
          <w:szCs w:val="24"/>
          <w:highlight w:val="none"/>
        </w:rPr>
        <w:t xml:space="preserve">5.1  </w:t>
      </w:r>
      <w:r>
        <w:rPr>
          <w:rFonts w:hint="eastAsia" w:ascii="宋体" w:hAnsi="宋体"/>
          <w:b w:val="0"/>
          <w:snapToGrid w:val="0"/>
          <w:color w:val="auto"/>
          <w:sz w:val="24"/>
          <w:szCs w:val="24"/>
          <w:highlight w:val="none"/>
        </w:rPr>
        <w:t>比选时间</w:t>
      </w:r>
      <w:r>
        <w:rPr>
          <w:rFonts w:ascii="宋体" w:hAnsi="宋体"/>
          <w:b w:val="0"/>
          <w:snapToGrid w:val="0"/>
          <w:color w:val="auto"/>
          <w:sz w:val="24"/>
          <w:szCs w:val="24"/>
          <w:highlight w:val="none"/>
        </w:rPr>
        <w:t>和地点</w:t>
      </w:r>
      <w:bookmarkEnd w:id="380"/>
      <w:bookmarkEnd w:id="381"/>
      <w:bookmarkEnd w:id="382"/>
      <w:bookmarkEnd w:id="383"/>
      <w:bookmarkEnd w:id="384"/>
      <w:bookmarkEnd w:id="385"/>
      <w:bookmarkEnd w:id="386"/>
      <w:bookmarkEnd w:id="387"/>
      <w:bookmarkEnd w:id="38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比选人在比选申请人须知前附表第 2.2.2 项规定的投标截止时间（</w:t>
      </w:r>
      <w:r>
        <w:rPr>
          <w:rFonts w:hint="eastAsia" w:ascii="宋体" w:hAnsi="宋体"/>
          <w:snapToGrid w:val="0"/>
          <w:color w:val="auto"/>
          <w:kern w:val="0"/>
          <w:szCs w:val="21"/>
          <w:highlight w:val="none"/>
        </w:rPr>
        <w:t>比选时间</w:t>
      </w:r>
      <w:r>
        <w:rPr>
          <w:rFonts w:ascii="宋体" w:hAnsi="宋体"/>
          <w:snapToGrid w:val="0"/>
          <w:color w:val="auto"/>
          <w:kern w:val="0"/>
          <w:szCs w:val="21"/>
          <w:highlight w:val="none"/>
        </w:rPr>
        <w:t>）和比选申请人须知前附表规定的地点公开开标，并邀请所有比选申请人的法定代表人或其委托代理人准时参加。</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89" w:name="_Toc7837"/>
      <w:bookmarkStart w:id="390" w:name="_Toc224103350"/>
      <w:bookmarkStart w:id="391" w:name="_Toc14994"/>
      <w:bookmarkStart w:id="392" w:name="_Toc287607779"/>
      <w:bookmarkStart w:id="393" w:name="_Toc430530468"/>
      <w:bookmarkStart w:id="394" w:name="_Toc287620718"/>
      <w:bookmarkStart w:id="395" w:name="_Toc509218743"/>
      <w:bookmarkStart w:id="396" w:name="_Toc277082585"/>
      <w:bookmarkStart w:id="397" w:name="_Toc200513159"/>
      <w:r>
        <w:rPr>
          <w:rFonts w:ascii="宋体" w:hAnsi="宋体"/>
          <w:b w:val="0"/>
          <w:snapToGrid w:val="0"/>
          <w:color w:val="auto"/>
          <w:sz w:val="24"/>
          <w:szCs w:val="24"/>
          <w:highlight w:val="none"/>
        </w:rPr>
        <w:t>5.2  开标程序</w:t>
      </w:r>
      <w:bookmarkEnd w:id="389"/>
      <w:bookmarkEnd w:id="390"/>
      <w:bookmarkEnd w:id="391"/>
      <w:bookmarkEnd w:id="392"/>
      <w:bookmarkEnd w:id="393"/>
      <w:bookmarkEnd w:id="394"/>
      <w:bookmarkEnd w:id="395"/>
      <w:bookmarkEnd w:id="396"/>
      <w:bookmarkEnd w:id="397"/>
    </w:p>
    <w:p>
      <w:pPr>
        <w:autoSpaceDE w:val="0"/>
        <w:autoSpaceDN w:val="0"/>
        <w:adjustRightInd w:val="0"/>
        <w:snapToGrid w:val="0"/>
        <w:spacing w:line="360" w:lineRule="auto"/>
        <w:ind w:firstLine="420" w:firstLineChars="200"/>
        <w:rPr>
          <w:rFonts w:ascii="宋体" w:hAnsi="宋体"/>
          <w:color w:val="auto"/>
          <w:szCs w:val="21"/>
          <w:highlight w:val="none"/>
        </w:rPr>
      </w:pPr>
      <w:bookmarkStart w:id="398" w:name="_Toc277082586"/>
      <w:bookmarkStart w:id="399" w:name="_Toc287620719"/>
      <w:bookmarkStart w:id="400" w:name="_Toc200513160"/>
      <w:bookmarkStart w:id="401" w:name="_Toc224103351"/>
      <w:bookmarkStart w:id="402" w:name="_Toc287607780"/>
      <w:r>
        <w:rPr>
          <w:rFonts w:ascii="宋体" w:hAnsi="宋体"/>
          <w:color w:val="auto"/>
          <w:szCs w:val="21"/>
          <w:highlight w:val="none"/>
        </w:rPr>
        <w:t>详见比选申请人须知前附表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403" w:name="_Toc24969"/>
      <w:bookmarkStart w:id="404" w:name="_Toc5782059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403"/>
      <w:bookmarkEnd w:id="404"/>
    </w:p>
    <w:p>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比选申请人对开标有异议的，应在开标现场提出，同时应出示法定代表人身份证明或附有法定代表人身份证明的授权委托书。比选人当场作出答复，并制作记录，有异议的比选申请人代表、比选人代表、主持人、记录人等有关人员在记录上签名确认</w:t>
      </w:r>
      <w:r>
        <w:rPr>
          <w:rFonts w:ascii="宋体" w:hAnsi="宋体"/>
          <w:color w:val="auto"/>
          <w:szCs w:val="21"/>
          <w:highlight w:val="none"/>
        </w:rPr>
        <w:t>。</w:t>
      </w:r>
    </w:p>
    <w:p>
      <w:pPr>
        <w:pStyle w:val="4"/>
        <w:keepNext w:val="0"/>
        <w:keepLines w:val="0"/>
        <w:spacing w:before="0" w:after="0" w:line="360" w:lineRule="auto"/>
        <w:rPr>
          <w:rFonts w:ascii="宋体" w:hAnsi="宋体"/>
          <w:b w:val="0"/>
          <w:snapToGrid w:val="0"/>
          <w:color w:val="auto"/>
          <w:highlight w:val="none"/>
        </w:rPr>
      </w:pPr>
      <w:bookmarkStart w:id="405" w:name="_Toc9533"/>
      <w:bookmarkStart w:id="406" w:name="_Toc430530469"/>
      <w:bookmarkStart w:id="407" w:name="_Toc1486"/>
      <w:bookmarkStart w:id="408" w:name="_Toc509218744"/>
      <w:r>
        <w:rPr>
          <w:rFonts w:ascii="宋体" w:hAnsi="宋体"/>
          <w:b w:val="0"/>
          <w:snapToGrid w:val="0"/>
          <w:color w:val="auto"/>
          <w:highlight w:val="none"/>
        </w:rPr>
        <w:t>6.  评标</w:t>
      </w:r>
      <w:bookmarkEnd w:id="398"/>
      <w:bookmarkEnd w:id="399"/>
      <w:bookmarkEnd w:id="400"/>
      <w:bookmarkEnd w:id="401"/>
      <w:bookmarkEnd w:id="402"/>
      <w:bookmarkEnd w:id="405"/>
      <w:bookmarkEnd w:id="406"/>
      <w:bookmarkEnd w:id="407"/>
      <w:bookmarkEnd w:id="408"/>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409" w:name="_Toc11796"/>
      <w:bookmarkStart w:id="410" w:name="_Toc28100"/>
      <w:bookmarkStart w:id="411" w:name="_Toc287607781"/>
      <w:bookmarkStart w:id="412" w:name="_Toc287620720"/>
      <w:bookmarkStart w:id="413" w:name="_Toc200513161"/>
      <w:bookmarkStart w:id="414" w:name="_Toc509218745"/>
      <w:bookmarkStart w:id="415" w:name="_Toc430530470"/>
      <w:bookmarkStart w:id="416" w:name="_Toc277082587"/>
      <w:bookmarkStart w:id="417" w:name="_Toc224103352"/>
      <w:r>
        <w:rPr>
          <w:rFonts w:ascii="宋体" w:hAnsi="宋体"/>
          <w:b w:val="0"/>
          <w:snapToGrid w:val="0"/>
          <w:color w:val="auto"/>
          <w:sz w:val="24"/>
          <w:szCs w:val="24"/>
          <w:highlight w:val="none"/>
        </w:rPr>
        <w:t>6.1  评标委员会</w:t>
      </w:r>
      <w:bookmarkEnd w:id="409"/>
      <w:bookmarkEnd w:id="410"/>
      <w:bookmarkEnd w:id="411"/>
      <w:bookmarkEnd w:id="412"/>
      <w:bookmarkEnd w:id="413"/>
      <w:bookmarkEnd w:id="414"/>
      <w:bookmarkEnd w:id="415"/>
      <w:bookmarkEnd w:id="416"/>
      <w:bookmarkEnd w:id="417"/>
    </w:p>
    <w:p>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评标由比选人依据法律法规和相关规范性文件组建的评标委员会负责。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（1）比选申请人或比选申请人的主要负责人的近亲属；</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（3）与比选申请人有利害关系，可能影响对投标公正评审的；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（4）曾因在比选、评标以及其他与比选投标有关活动中从事违法行为而受过行政处罚或刑事处罚的</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color w:val="auto"/>
          <w:sz w:val="24"/>
          <w:szCs w:val="24"/>
          <w:highlight w:val="none"/>
        </w:rPr>
      </w:pPr>
      <w:bookmarkStart w:id="418" w:name="_Toc12166"/>
      <w:bookmarkStart w:id="419" w:name="_Toc430530471"/>
      <w:bookmarkStart w:id="420" w:name="_Toc8565"/>
      <w:bookmarkStart w:id="421" w:name="_Toc200513162"/>
      <w:bookmarkStart w:id="422" w:name="_Toc287607782"/>
      <w:bookmarkStart w:id="423" w:name="_Toc277082588"/>
      <w:bookmarkStart w:id="424" w:name="_Toc509218746"/>
      <w:bookmarkStart w:id="425" w:name="_Toc224103353"/>
      <w:bookmarkStart w:id="426" w:name="_Toc287620721"/>
      <w:r>
        <w:rPr>
          <w:rFonts w:ascii="宋体" w:hAnsi="宋体"/>
          <w:b w:val="0"/>
          <w:snapToGrid w:val="0"/>
          <w:color w:val="auto"/>
          <w:sz w:val="24"/>
          <w:szCs w:val="24"/>
          <w:highlight w:val="none"/>
        </w:rPr>
        <w:t>6.2  评标原则</w:t>
      </w:r>
      <w:bookmarkEnd w:id="418"/>
      <w:bookmarkEnd w:id="419"/>
      <w:bookmarkEnd w:id="420"/>
      <w:bookmarkEnd w:id="421"/>
      <w:bookmarkEnd w:id="422"/>
      <w:bookmarkEnd w:id="423"/>
      <w:bookmarkEnd w:id="424"/>
      <w:bookmarkEnd w:id="425"/>
      <w:bookmarkEnd w:id="42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pPr>
        <w:pStyle w:val="5"/>
        <w:snapToGrid w:val="0"/>
        <w:spacing w:before="0" w:after="0" w:line="360" w:lineRule="auto"/>
        <w:rPr>
          <w:rFonts w:ascii="宋体" w:hAnsi="宋体"/>
          <w:b w:val="0"/>
          <w:snapToGrid w:val="0"/>
          <w:color w:val="auto"/>
          <w:sz w:val="24"/>
          <w:szCs w:val="24"/>
          <w:highlight w:val="none"/>
        </w:rPr>
      </w:pPr>
      <w:bookmarkStart w:id="427" w:name="_Toc16487"/>
      <w:bookmarkStart w:id="428" w:name="_Toc14701"/>
      <w:bookmarkStart w:id="429" w:name="_Toc430530472"/>
      <w:bookmarkStart w:id="430" w:name="_Toc287607783"/>
      <w:bookmarkStart w:id="431" w:name="_Toc287620722"/>
      <w:bookmarkStart w:id="432" w:name="_Toc200513163"/>
      <w:bookmarkStart w:id="433" w:name="_Toc277082589"/>
      <w:bookmarkStart w:id="434" w:name="_Toc224103354"/>
      <w:bookmarkStart w:id="435" w:name="_Toc509218747"/>
      <w:r>
        <w:rPr>
          <w:rFonts w:ascii="宋体" w:hAnsi="宋体"/>
          <w:b w:val="0"/>
          <w:snapToGrid w:val="0"/>
          <w:color w:val="auto"/>
          <w:sz w:val="24"/>
          <w:szCs w:val="24"/>
          <w:highlight w:val="none"/>
        </w:rPr>
        <w:t>6.3  评标</w:t>
      </w:r>
      <w:bookmarkEnd w:id="427"/>
      <w:bookmarkEnd w:id="428"/>
      <w:bookmarkEnd w:id="429"/>
      <w:bookmarkEnd w:id="430"/>
      <w:bookmarkEnd w:id="431"/>
      <w:bookmarkEnd w:id="432"/>
      <w:bookmarkEnd w:id="433"/>
      <w:bookmarkEnd w:id="434"/>
      <w:bookmarkEnd w:id="43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进行评审。第三章“评标办法”没有规定的方法、评审因素和标准，不得作为评标依据。</w:t>
      </w:r>
    </w:p>
    <w:p>
      <w:pPr>
        <w:pStyle w:val="4"/>
        <w:spacing w:before="0" w:after="0" w:line="360" w:lineRule="auto"/>
        <w:rPr>
          <w:rFonts w:ascii="宋体" w:hAnsi="宋体"/>
          <w:b w:val="0"/>
          <w:snapToGrid w:val="0"/>
          <w:color w:val="auto"/>
          <w:highlight w:val="none"/>
        </w:rPr>
      </w:pPr>
      <w:bookmarkStart w:id="436" w:name="_Toc430530473"/>
      <w:bookmarkStart w:id="437" w:name="_Toc277082590"/>
      <w:bookmarkStart w:id="438" w:name="_Toc287607784"/>
      <w:bookmarkStart w:id="439" w:name="_Toc509218748"/>
      <w:bookmarkStart w:id="440" w:name="_Toc2723"/>
      <w:bookmarkStart w:id="441" w:name="_Toc32577"/>
      <w:bookmarkStart w:id="442" w:name="_Toc200513164"/>
      <w:bookmarkStart w:id="443" w:name="_Toc224103355"/>
      <w:bookmarkStart w:id="444" w:name="_Toc287620723"/>
      <w:r>
        <w:rPr>
          <w:rFonts w:ascii="宋体" w:hAnsi="宋体"/>
          <w:b w:val="0"/>
          <w:snapToGrid w:val="0"/>
          <w:color w:val="auto"/>
          <w:highlight w:val="none"/>
        </w:rPr>
        <w:t>7.  合同授予</w:t>
      </w:r>
      <w:bookmarkEnd w:id="436"/>
      <w:bookmarkEnd w:id="437"/>
      <w:bookmarkEnd w:id="438"/>
      <w:bookmarkEnd w:id="439"/>
      <w:bookmarkEnd w:id="440"/>
      <w:bookmarkEnd w:id="441"/>
      <w:bookmarkEnd w:id="442"/>
      <w:bookmarkEnd w:id="443"/>
      <w:bookmarkEnd w:id="444"/>
    </w:p>
    <w:p>
      <w:pPr>
        <w:pStyle w:val="5"/>
        <w:snapToGrid w:val="0"/>
        <w:spacing w:before="0" w:after="0" w:line="360" w:lineRule="auto"/>
        <w:rPr>
          <w:rFonts w:ascii="宋体" w:hAnsi="宋体"/>
          <w:b w:val="0"/>
          <w:snapToGrid w:val="0"/>
          <w:color w:val="auto"/>
          <w:sz w:val="24"/>
          <w:szCs w:val="24"/>
          <w:highlight w:val="none"/>
        </w:rPr>
      </w:pPr>
      <w:bookmarkStart w:id="445" w:name="_Toc277082591"/>
      <w:bookmarkStart w:id="446" w:name="_Toc6863"/>
      <w:bookmarkStart w:id="447" w:name="_Toc200513165"/>
      <w:bookmarkStart w:id="448" w:name="_Toc224103356"/>
      <w:bookmarkStart w:id="449" w:name="_Toc29937"/>
      <w:bookmarkStart w:id="450" w:name="_Toc430530474"/>
      <w:bookmarkStart w:id="451" w:name="_Toc287620724"/>
      <w:bookmarkStart w:id="452" w:name="_Toc509218749"/>
      <w:bookmarkStart w:id="453" w:name="_Toc287607785"/>
      <w:r>
        <w:rPr>
          <w:rFonts w:ascii="宋体" w:hAnsi="宋体"/>
          <w:b w:val="0"/>
          <w:snapToGrid w:val="0"/>
          <w:color w:val="auto"/>
          <w:sz w:val="24"/>
          <w:szCs w:val="24"/>
          <w:highlight w:val="none"/>
        </w:rPr>
        <w:t>7.1  定标方式</w:t>
      </w:r>
      <w:bookmarkEnd w:id="445"/>
      <w:bookmarkEnd w:id="446"/>
      <w:bookmarkEnd w:id="447"/>
      <w:bookmarkEnd w:id="448"/>
      <w:bookmarkEnd w:id="449"/>
      <w:bookmarkEnd w:id="450"/>
      <w:bookmarkEnd w:id="451"/>
      <w:bookmarkEnd w:id="452"/>
      <w:bookmarkEnd w:id="453"/>
    </w:p>
    <w:p>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比选的项目，比选人应当确定排名第一的中标候选人为中标人。排名第一的中标候选人放弃中标、因不可抗力不能履行合同、不按照竞争性比选文件要求提交履约保证金，或者被查实存在影响中标结果的违法行为等情形，不符合中标条件的，比选人可以按照评标委员会提出的中标候选人名单排序依次确定其他中标候选人为中标人，也可以重新比选。</w:t>
      </w:r>
    </w:p>
    <w:p>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见比选申请人须知前附表。</w:t>
      </w:r>
    </w:p>
    <w:p>
      <w:pPr>
        <w:pStyle w:val="5"/>
        <w:snapToGrid w:val="0"/>
        <w:spacing w:before="0" w:after="0" w:line="360" w:lineRule="auto"/>
        <w:rPr>
          <w:rFonts w:ascii="宋体" w:hAnsi="宋体"/>
          <w:b w:val="0"/>
          <w:snapToGrid w:val="0"/>
          <w:color w:val="auto"/>
          <w:sz w:val="24"/>
          <w:szCs w:val="24"/>
          <w:highlight w:val="none"/>
        </w:rPr>
      </w:pPr>
      <w:bookmarkStart w:id="454" w:name="_Toc23594"/>
      <w:bookmarkStart w:id="455" w:name="_Toc32319"/>
      <w:bookmarkStart w:id="456" w:name="_Toc430530475"/>
      <w:bookmarkStart w:id="457" w:name="_Toc509218750"/>
      <w:r>
        <w:rPr>
          <w:rFonts w:ascii="宋体" w:hAnsi="宋体"/>
          <w:b w:val="0"/>
          <w:snapToGrid w:val="0"/>
          <w:color w:val="auto"/>
          <w:sz w:val="24"/>
          <w:szCs w:val="24"/>
          <w:highlight w:val="none"/>
        </w:rPr>
        <w:t>7.2  中标公示及中标通知</w:t>
      </w:r>
      <w:bookmarkEnd w:id="454"/>
      <w:bookmarkEnd w:id="455"/>
      <w:bookmarkEnd w:id="456"/>
      <w:bookmarkEnd w:id="457"/>
    </w:p>
    <w:p>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比选人在收到评标报告之日起3日内公示中标候选人，公示期不得少于3日</w:t>
      </w:r>
      <w:r>
        <w:rPr>
          <w:rFonts w:hint="eastAsia" w:ascii="宋体" w:hAnsi="宋体"/>
          <w:color w:val="auto"/>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款规定的投标有效期内，且未有比选申请人的异议与投诉，比选人以书面形式向中标人发出中标通知书。</w:t>
      </w:r>
    </w:p>
    <w:p>
      <w:pPr>
        <w:pStyle w:val="5"/>
        <w:snapToGrid w:val="0"/>
        <w:spacing w:before="0" w:after="0" w:line="360" w:lineRule="auto"/>
        <w:rPr>
          <w:rFonts w:ascii="宋体" w:hAnsi="宋体"/>
          <w:b w:val="0"/>
          <w:snapToGrid w:val="0"/>
          <w:color w:val="auto"/>
          <w:sz w:val="24"/>
          <w:szCs w:val="24"/>
          <w:highlight w:val="none"/>
        </w:rPr>
      </w:pPr>
      <w:bookmarkStart w:id="458" w:name="_Toc430530476"/>
      <w:bookmarkStart w:id="459" w:name="_Toc13908"/>
      <w:bookmarkStart w:id="460" w:name="_Toc224103358"/>
      <w:bookmarkStart w:id="461" w:name="_Toc509218751"/>
      <w:bookmarkStart w:id="462" w:name="_Toc13383"/>
      <w:bookmarkStart w:id="463" w:name="_Toc277082593"/>
      <w:bookmarkStart w:id="464" w:name="_Toc200513167"/>
      <w:bookmarkStart w:id="465" w:name="_Toc287620726"/>
      <w:bookmarkStart w:id="466" w:name="_Toc287607787"/>
      <w:r>
        <w:rPr>
          <w:rFonts w:ascii="宋体" w:hAnsi="宋体"/>
          <w:b w:val="0"/>
          <w:snapToGrid w:val="0"/>
          <w:color w:val="auto"/>
          <w:sz w:val="24"/>
          <w:szCs w:val="24"/>
          <w:highlight w:val="none"/>
        </w:rPr>
        <w:t>7.3  履约担保</w:t>
      </w:r>
      <w:bookmarkEnd w:id="458"/>
      <w:bookmarkEnd w:id="459"/>
      <w:bookmarkEnd w:id="460"/>
      <w:bookmarkEnd w:id="461"/>
      <w:bookmarkEnd w:id="462"/>
      <w:bookmarkEnd w:id="463"/>
      <w:bookmarkEnd w:id="464"/>
      <w:bookmarkEnd w:id="465"/>
      <w:bookmarkEnd w:id="466"/>
    </w:p>
    <w:p>
      <w:pPr>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在签订合同前，中标人应按比选申请人须知前附表规定的金额、担保形式和竞争性比选文件第四章“合同条款及格式”规定的履约担保格式向比选人提交履约担保。</w:t>
      </w:r>
      <w:r>
        <w:rPr>
          <w:rFonts w:hint="eastAsia" w:ascii="宋体" w:hAnsi="宋体"/>
          <w:snapToGrid w:val="0"/>
          <w:color w:val="auto"/>
          <w:kern w:val="0"/>
          <w:szCs w:val="21"/>
          <w:highlight w:val="none"/>
        </w:rPr>
        <w:t>投标人在资格审查中承 诺如中标，将在规定时间内按时、足额缴纳履约保证金。</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项要求提交履约担保的，视为放弃中标，其投标保证金不予退还，给比选人造成的损失超过投标保证金数额的，中标人还应当对超过部分予以赔偿。</w:t>
      </w:r>
    </w:p>
    <w:p>
      <w:pPr>
        <w:pStyle w:val="5"/>
        <w:snapToGrid w:val="0"/>
        <w:spacing w:before="0" w:after="0" w:line="360" w:lineRule="auto"/>
        <w:rPr>
          <w:rFonts w:ascii="宋体" w:hAnsi="宋体"/>
          <w:b w:val="0"/>
          <w:snapToGrid w:val="0"/>
          <w:color w:val="auto"/>
          <w:sz w:val="24"/>
          <w:szCs w:val="24"/>
          <w:highlight w:val="none"/>
        </w:rPr>
      </w:pPr>
      <w:bookmarkStart w:id="467" w:name="_Toc287607788"/>
      <w:bookmarkStart w:id="468" w:name="_Toc6361"/>
      <w:bookmarkStart w:id="469" w:name="_Toc277082594"/>
      <w:bookmarkStart w:id="470" w:name="_Toc430530477"/>
      <w:bookmarkStart w:id="471" w:name="_Toc509218752"/>
      <w:bookmarkStart w:id="472" w:name="_Toc287620727"/>
      <w:bookmarkStart w:id="473" w:name="_Toc200513168"/>
      <w:bookmarkStart w:id="474" w:name="_Toc16900"/>
      <w:bookmarkStart w:id="475" w:name="_Toc224103359"/>
      <w:r>
        <w:rPr>
          <w:rFonts w:ascii="宋体" w:hAnsi="宋体"/>
          <w:b w:val="0"/>
          <w:snapToGrid w:val="0"/>
          <w:color w:val="auto"/>
          <w:sz w:val="24"/>
          <w:szCs w:val="24"/>
          <w:highlight w:val="none"/>
        </w:rPr>
        <w:t>7.4  签订合同</w:t>
      </w:r>
      <w:bookmarkEnd w:id="467"/>
      <w:bookmarkEnd w:id="468"/>
      <w:bookmarkEnd w:id="469"/>
      <w:bookmarkEnd w:id="470"/>
      <w:bookmarkEnd w:id="471"/>
      <w:bookmarkEnd w:id="472"/>
      <w:bookmarkEnd w:id="473"/>
      <w:bookmarkEnd w:id="474"/>
      <w:bookmarkEnd w:id="475"/>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7.4.1 比选人和中标人应当自中标通知书发出之日起 30 天内，根据竞争性比选文件和中标人的</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在签订合同时向比选人提出附加条件或者更改合同实质性内容的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或不按照竞争性比选文件要求提交低价风险担保（适用于经评审最低投标价法）或履约保证金的，</w:t>
      </w:r>
      <w:r>
        <w:rPr>
          <w:rFonts w:ascii="宋体" w:hAnsi="宋体"/>
          <w:snapToGrid w:val="0"/>
          <w:color w:val="auto"/>
          <w:kern w:val="0"/>
          <w:szCs w:val="21"/>
          <w:highlight w:val="none"/>
        </w:rPr>
        <w:t>比选人取消其中标资格，其投标保证金不予退还；给比选人造成的损失超过投标保证金数额的，中标人还应当对超过部分予以赔偿。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发出中标通知书后，比选人无正当理由拒签合同的，比选人向中标人退还投标保证金；给中标人造成损失的，还应当赔偿损失。</w:t>
      </w:r>
    </w:p>
    <w:p>
      <w:pPr>
        <w:pStyle w:val="4"/>
        <w:spacing w:before="0" w:after="0" w:line="360" w:lineRule="auto"/>
        <w:rPr>
          <w:rFonts w:ascii="宋体" w:hAnsi="宋体"/>
          <w:b w:val="0"/>
          <w:snapToGrid w:val="0"/>
          <w:color w:val="auto"/>
          <w:highlight w:val="none"/>
        </w:rPr>
      </w:pPr>
      <w:bookmarkStart w:id="476" w:name="_Toc287620728"/>
      <w:bookmarkStart w:id="477" w:name="_Toc430530478"/>
      <w:bookmarkStart w:id="478" w:name="_Toc22591"/>
      <w:bookmarkStart w:id="479" w:name="_Toc287607789"/>
      <w:bookmarkStart w:id="480" w:name="_Toc31533"/>
      <w:bookmarkStart w:id="481" w:name="_Toc509218753"/>
      <w:bookmarkStart w:id="482" w:name="_Toc200513169"/>
      <w:bookmarkStart w:id="483" w:name="_Toc277082595"/>
      <w:bookmarkStart w:id="484" w:name="_Toc224103360"/>
      <w:r>
        <w:rPr>
          <w:rFonts w:ascii="宋体" w:hAnsi="宋体"/>
          <w:b w:val="0"/>
          <w:snapToGrid w:val="0"/>
          <w:color w:val="auto"/>
          <w:highlight w:val="none"/>
        </w:rPr>
        <w:t>8.  重新比选和不再比选</w:t>
      </w:r>
      <w:bookmarkEnd w:id="476"/>
      <w:bookmarkEnd w:id="477"/>
      <w:bookmarkEnd w:id="478"/>
      <w:bookmarkEnd w:id="479"/>
      <w:bookmarkEnd w:id="480"/>
      <w:bookmarkEnd w:id="481"/>
      <w:bookmarkEnd w:id="482"/>
      <w:bookmarkEnd w:id="483"/>
      <w:bookmarkEnd w:id="484"/>
    </w:p>
    <w:p>
      <w:pPr>
        <w:pStyle w:val="5"/>
        <w:snapToGrid w:val="0"/>
        <w:spacing w:before="0" w:after="0" w:line="360" w:lineRule="auto"/>
        <w:rPr>
          <w:rFonts w:ascii="宋体" w:hAnsi="宋体"/>
          <w:b w:val="0"/>
          <w:snapToGrid w:val="0"/>
          <w:color w:val="auto"/>
          <w:sz w:val="24"/>
          <w:szCs w:val="24"/>
          <w:highlight w:val="none"/>
        </w:rPr>
      </w:pPr>
      <w:bookmarkStart w:id="485" w:name="_Toc4647"/>
      <w:bookmarkStart w:id="486" w:name="_Toc287607790"/>
      <w:bookmarkStart w:id="487" w:name="_Toc200513170"/>
      <w:bookmarkStart w:id="488" w:name="_Toc277082596"/>
      <w:bookmarkStart w:id="489" w:name="_Toc224103361"/>
      <w:bookmarkStart w:id="490" w:name="_Toc509218754"/>
      <w:bookmarkStart w:id="491" w:name="_Toc430530479"/>
      <w:bookmarkStart w:id="492" w:name="_Toc287620729"/>
      <w:bookmarkStart w:id="493" w:name="_Toc30715"/>
      <w:r>
        <w:rPr>
          <w:rFonts w:ascii="宋体" w:hAnsi="宋体"/>
          <w:b w:val="0"/>
          <w:snapToGrid w:val="0"/>
          <w:color w:val="auto"/>
          <w:sz w:val="24"/>
          <w:szCs w:val="24"/>
          <w:highlight w:val="none"/>
        </w:rPr>
        <w:t>8.1  重新比选</w:t>
      </w:r>
      <w:bookmarkEnd w:id="485"/>
      <w:bookmarkEnd w:id="486"/>
      <w:bookmarkEnd w:id="487"/>
      <w:bookmarkEnd w:id="488"/>
      <w:bookmarkEnd w:id="489"/>
      <w:bookmarkEnd w:id="490"/>
      <w:bookmarkEnd w:id="491"/>
      <w:bookmarkEnd w:id="492"/>
      <w:r>
        <w:rPr>
          <w:rFonts w:hint="eastAsia" w:ascii="宋体" w:hAnsi="宋体"/>
          <w:b w:val="0"/>
          <w:snapToGrid w:val="0"/>
          <w:color w:val="auto"/>
          <w:sz w:val="24"/>
          <w:szCs w:val="24"/>
          <w:highlight w:val="none"/>
        </w:rPr>
        <w:t>的情形</w:t>
      </w:r>
      <w:bookmarkEnd w:id="493"/>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有下列情形之一的，比选人将重新比选：</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（1）投标截止时间止，比选申请人少于 3 个的；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比选申请人不足三个的，评标委员会应当否决所有投标。但是有效比选申请人的经济、技术等指标仍然具有市场竞争力，能够满足竞争性比选文件要求的，评标委员会可以继续评标并确定中标候选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pPr>
        <w:pStyle w:val="5"/>
        <w:snapToGrid w:val="0"/>
        <w:spacing w:before="0" w:after="0" w:line="360" w:lineRule="auto"/>
        <w:rPr>
          <w:rFonts w:ascii="宋体" w:hAnsi="宋体"/>
          <w:b w:val="0"/>
          <w:snapToGrid w:val="0"/>
          <w:color w:val="auto"/>
          <w:sz w:val="24"/>
          <w:szCs w:val="24"/>
          <w:highlight w:val="none"/>
        </w:rPr>
      </w:pPr>
      <w:bookmarkStart w:id="494" w:name="_Toc287607791"/>
      <w:bookmarkStart w:id="495" w:name="_Toc287620730"/>
      <w:bookmarkStart w:id="496" w:name="_Toc224103362"/>
      <w:bookmarkStart w:id="497" w:name="_Toc200513171"/>
      <w:bookmarkStart w:id="498" w:name="_Toc32210"/>
      <w:bookmarkStart w:id="499" w:name="_Toc430530480"/>
      <w:bookmarkStart w:id="500" w:name="_Toc277082597"/>
      <w:bookmarkStart w:id="501" w:name="_Toc4575"/>
      <w:bookmarkStart w:id="502" w:name="_Toc509218755"/>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比选和不再比选</w:t>
      </w:r>
      <w:bookmarkEnd w:id="494"/>
      <w:bookmarkEnd w:id="495"/>
      <w:bookmarkEnd w:id="496"/>
      <w:bookmarkEnd w:id="497"/>
      <w:bookmarkEnd w:id="498"/>
      <w:bookmarkEnd w:id="499"/>
      <w:bookmarkEnd w:id="500"/>
      <w:bookmarkEnd w:id="501"/>
      <w:bookmarkEnd w:id="502"/>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比选的比选申请人仍然少于三个的，按照比选投标法律法规规定的程序开标和评标。重新比选经评审有有效比选申请人的，应当依法确定中标候选人；无有效比选申请人的，可以不再进行比选，但是按照国家有关规定需要履行审批、核准、备案手续的依法必须进行比选的项目，应当报原项目投资主管部门审批、核准、备案</w:t>
      </w:r>
      <w:r>
        <w:rPr>
          <w:rFonts w:ascii="宋体" w:hAnsi="宋体"/>
          <w:snapToGrid w:val="0"/>
          <w:color w:val="auto"/>
          <w:kern w:val="0"/>
          <w:szCs w:val="21"/>
          <w:highlight w:val="none"/>
        </w:rPr>
        <w:t>。</w:t>
      </w:r>
    </w:p>
    <w:p>
      <w:pPr>
        <w:pStyle w:val="4"/>
        <w:spacing w:before="0" w:after="0" w:line="360" w:lineRule="auto"/>
        <w:rPr>
          <w:rFonts w:ascii="宋体" w:hAnsi="宋体"/>
          <w:b w:val="0"/>
          <w:snapToGrid w:val="0"/>
          <w:color w:val="auto"/>
          <w:highlight w:val="none"/>
        </w:rPr>
      </w:pPr>
      <w:bookmarkStart w:id="503" w:name="_Toc287620731"/>
      <w:bookmarkStart w:id="504" w:name="_Toc200513172"/>
      <w:bookmarkStart w:id="505" w:name="_Toc430530481"/>
      <w:bookmarkStart w:id="506" w:name="_Toc287607792"/>
      <w:bookmarkStart w:id="507" w:name="_Toc24633"/>
      <w:bookmarkStart w:id="508" w:name="_Toc509218756"/>
      <w:bookmarkStart w:id="509" w:name="_Toc285"/>
      <w:bookmarkStart w:id="510" w:name="_Toc277082598"/>
      <w:bookmarkStart w:id="511" w:name="_Toc224103363"/>
      <w:r>
        <w:rPr>
          <w:rFonts w:ascii="宋体" w:hAnsi="宋体"/>
          <w:b w:val="0"/>
          <w:snapToGrid w:val="0"/>
          <w:color w:val="auto"/>
          <w:highlight w:val="none"/>
        </w:rPr>
        <w:t>9.  纪律和监督</w:t>
      </w:r>
      <w:bookmarkEnd w:id="503"/>
      <w:bookmarkEnd w:id="504"/>
      <w:bookmarkEnd w:id="505"/>
      <w:bookmarkEnd w:id="506"/>
      <w:bookmarkEnd w:id="507"/>
      <w:bookmarkEnd w:id="508"/>
      <w:bookmarkEnd w:id="509"/>
      <w:bookmarkEnd w:id="510"/>
      <w:bookmarkEnd w:id="511"/>
    </w:p>
    <w:p>
      <w:pPr>
        <w:pStyle w:val="5"/>
        <w:snapToGrid w:val="0"/>
        <w:spacing w:before="0" w:after="0" w:line="360" w:lineRule="auto"/>
        <w:rPr>
          <w:rFonts w:ascii="宋体" w:hAnsi="宋体"/>
          <w:b w:val="0"/>
          <w:snapToGrid w:val="0"/>
          <w:color w:val="auto"/>
          <w:sz w:val="24"/>
          <w:szCs w:val="24"/>
          <w:highlight w:val="none"/>
        </w:rPr>
      </w:pPr>
      <w:bookmarkStart w:id="512" w:name="_Toc11532"/>
      <w:bookmarkStart w:id="513" w:name="_Toc200513173"/>
      <w:bookmarkStart w:id="514" w:name="_Toc224103364"/>
      <w:bookmarkStart w:id="515" w:name="_Toc287607793"/>
      <w:bookmarkStart w:id="516" w:name="_Toc287620732"/>
      <w:bookmarkStart w:id="517" w:name="_Toc430530482"/>
      <w:bookmarkStart w:id="518" w:name="_Toc277082599"/>
      <w:bookmarkStart w:id="519" w:name="_Toc509218757"/>
      <w:bookmarkStart w:id="520" w:name="_Toc31307"/>
      <w:r>
        <w:rPr>
          <w:rFonts w:ascii="宋体" w:hAnsi="宋体"/>
          <w:b w:val="0"/>
          <w:snapToGrid w:val="0"/>
          <w:color w:val="auto"/>
          <w:sz w:val="24"/>
          <w:szCs w:val="24"/>
          <w:highlight w:val="none"/>
        </w:rPr>
        <w:t>9.1  对比选人的纪律要求</w:t>
      </w:r>
      <w:bookmarkEnd w:id="512"/>
      <w:bookmarkEnd w:id="513"/>
      <w:bookmarkEnd w:id="514"/>
      <w:bookmarkEnd w:id="515"/>
      <w:bookmarkEnd w:id="516"/>
      <w:bookmarkEnd w:id="517"/>
      <w:bookmarkEnd w:id="518"/>
      <w:bookmarkEnd w:id="519"/>
      <w:bookmarkEnd w:id="520"/>
    </w:p>
    <w:p>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比选人不得泄漏比选投标活动中应当保密的情况和资料，不得与比选申请人串通损害国家利 益、社会公共利益或者他人合法权益，</w:t>
      </w:r>
      <w:r>
        <w:rPr>
          <w:rFonts w:ascii="宋体" w:hAnsi="宋体"/>
          <w:color w:val="auto"/>
          <w:highlight w:val="none"/>
        </w:rPr>
        <w:t>禁止比选人与比选申请人串通投标。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有下列情形之一的，属于比选人与比选申请人串通投标：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（1）比选人在开标前开启</w:t>
      </w:r>
      <w:r>
        <w:rPr>
          <w:rFonts w:hint="eastAsia" w:ascii="宋体" w:hAnsi="宋体"/>
          <w:color w:val="auto"/>
          <w:highlight w:val="none"/>
        </w:rPr>
        <w:t>比选申请文件</w:t>
      </w:r>
      <w:r>
        <w:rPr>
          <w:rFonts w:ascii="宋体" w:hAnsi="宋体"/>
          <w:color w:val="auto"/>
          <w:highlight w:val="none"/>
        </w:rPr>
        <w:t>并将有关信息泄露给其他比选申请人</w:t>
      </w:r>
      <w:r>
        <w:rPr>
          <w:rFonts w:hint="eastAsia" w:ascii="宋体" w:hAnsi="宋体"/>
          <w:color w:val="auto"/>
          <w:highlight w:val="none"/>
        </w:rPr>
        <w:t>；</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（2）比选人直接或者间接向比选申请人泄露标底、评标委员会成员等信息；</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（3）比选人明示或者暗示比选申请人压低或者抬高投标报价；</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（4）比选人授意比选申请人撤换、修改</w:t>
      </w:r>
      <w:r>
        <w:rPr>
          <w:rFonts w:hint="eastAsia" w:ascii="宋体" w:hAnsi="宋体"/>
          <w:color w:val="auto"/>
          <w:highlight w:val="none"/>
        </w:rPr>
        <w:t>比选申请文件</w:t>
      </w:r>
      <w:r>
        <w:rPr>
          <w:rFonts w:ascii="宋体" w:hAnsi="宋体"/>
          <w:color w:val="auto"/>
          <w:highlight w:val="none"/>
        </w:rPr>
        <w:t>；</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（5）比选人明示或者暗示比选申请人为特定比选申请人中标提供方便；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（6）比选人与比选申请人为谋求特定比选申请人中标而采取的其他串通行为。</w:t>
      </w:r>
    </w:p>
    <w:p>
      <w:pPr>
        <w:pStyle w:val="5"/>
        <w:snapToGrid w:val="0"/>
        <w:spacing w:before="0" w:after="0" w:line="360" w:lineRule="auto"/>
        <w:rPr>
          <w:rFonts w:ascii="宋体" w:hAnsi="宋体"/>
          <w:b w:val="0"/>
          <w:snapToGrid w:val="0"/>
          <w:color w:val="auto"/>
          <w:sz w:val="24"/>
          <w:szCs w:val="24"/>
          <w:highlight w:val="none"/>
        </w:rPr>
      </w:pPr>
      <w:bookmarkStart w:id="521" w:name="_Toc20766"/>
      <w:bookmarkStart w:id="522" w:name="_Toc287620733"/>
      <w:bookmarkStart w:id="523" w:name="_Toc509218758"/>
      <w:bookmarkStart w:id="524" w:name="_Toc224103365"/>
      <w:bookmarkStart w:id="525" w:name="_Toc430530483"/>
      <w:bookmarkStart w:id="526" w:name="_Toc287607794"/>
      <w:bookmarkStart w:id="527" w:name="_Toc11710"/>
      <w:bookmarkStart w:id="528" w:name="_Toc200513174"/>
      <w:bookmarkStart w:id="529" w:name="_Toc277082600"/>
      <w:r>
        <w:rPr>
          <w:rFonts w:ascii="宋体" w:hAnsi="宋体"/>
          <w:b w:val="0"/>
          <w:snapToGrid w:val="0"/>
          <w:color w:val="auto"/>
          <w:sz w:val="24"/>
          <w:szCs w:val="24"/>
          <w:highlight w:val="none"/>
        </w:rPr>
        <w:t>9.2  对比选申请人的纪律要求</w:t>
      </w:r>
      <w:bookmarkEnd w:id="521"/>
      <w:bookmarkEnd w:id="522"/>
      <w:bookmarkEnd w:id="523"/>
      <w:bookmarkEnd w:id="524"/>
      <w:bookmarkEnd w:id="525"/>
      <w:bookmarkEnd w:id="526"/>
      <w:bookmarkEnd w:id="527"/>
      <w:bookmarkEnd w:id="528"/>
      <w:bookmarkEnd w:id="52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比选申请人</w:t>
      </w:r>
      <w:r>
        <w:rPr>
          <w:rFonts w:hint="eastAsia" w:ascii="宋体" w:hAnsi="宋体"/>
          <w:snapToGrid w:val="0"/>
          <w:color w:val="auto"/>
          <w:kern w:val="0"/>
          <w:sz w:val="24"/>
          <w:highlight w:val="none"/>
        </w:rPr>
        <w:t>在</w:t>
      </w:r>
      <w:r>
        <w:rPr>
          <w:rFonts w:hint="eastAsia" w:ascii="宋体" w:hAnsi="宋体"/>
          <w:snapToGrid w:val="0"/>
          <w:color w:val="auto"/>
          <w:kern w:val="0"/>
          <w:szCs w:val="21"/>
          <w:highlight w:val="none"/>
        </w:rPr>
        <w:t>资格审查中承 诺</w:t>
      </w:r>
      <w:r>
        <w:rPr>
          <w:rFonts w:ascii="宋体" w:hAnsi="宋体"/>
          <w:snapToGrid w:val="0"/>
          <w:color w:val="auto"/>
          <w:kern w:val="0"/>
          <w:szCs w:val="21"/>
          <w:highlight w:val="none"/>
        </w:rPr>
        <w:t>不得相互串通投标或者与比选人串通投标，不得向比选人或者评标委员会成员行贿谋取中标，不得以他人名义投标或者以其他方式弄虚作假骗取中标；比选申请人不得以任何方式干扰、影响评标工作</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有下列情形之一的，属于比选申请人相互串通投标：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（1）比选申请人之间协商投标报价等</w:t>
      </w:r>
      <w:r>
        <w:rPr>
          <w:rFonts w:hint="eastAsia" w:ascii="宋体" w:hAnsi="宋体"/>
          <w:color w:val="auto"/>
          <w:highlight w:val="none"/>
        </w:rPr>
        <w:t>比选申请文件</w:t>
      </w:r>
      <w:r>
        <w:rPr>
          <w:rFonts w:ascii="宋体" w:hAnsi="宋体"/>
          <w:color w:val="auto"/>
          <w:highlight w:val="none"/>
        </w:rPr>
        <w:t>的实质性内容；</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（2）比选申请人之间约定中标人；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（3）比选申请人之间约定部分比选申请人放弃投标或者中标；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（4）属于同一集团、协会、商会等组织成员的比选申请人按照该组织要求协同投标；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（5）比选申请人之间为谋取中标或者排斥特定比选申请人而采取的其他联合行动。</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有下列情形之一的，视为比选申请人相互串通投标：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（1）不同比选申请人的</w:t>
      </w:r>
      <w:r>
        <w:rPr>
          <w:rFonts w:hint="eastAsia" w:ascii="宋体" w:hAnsi="宋体"/>
          <w:color w:val="auto"/>
          <w:highlight w:val="none"/>
        </w:rPr>
        <w:t>比选申请文件</w:t>
      </w:r>
      <w:r>
        <w:rPr>
          <w:rFonts w:ascii="宋体" w:hAnsi="宋体"/>
          <w:color w:val="auto"/>
          <w:highlight w:val="none"/>
        </w:rPr>
        <w:t>由同一单位或者个人编制；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（2）不同比选申请人委托同一单位或者个人办理投标事宜；</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（3）不同比选申请人的</w:t>
      </w:r>
      <w:r>
        <w:rPr>
          <w:rFonts w:hint="eastAsia" w:ascii="宋体" w:hAnsi="宋体"/>
          <w:color w:val="auto"/>
          <w:highlight w:val="none"/>
        </w:rPr>
        <w:t>比选申请文件</w:t>
      </w:r>
      <w:r>
        <w:rPr>
          <w:rFonts w:ascii="宋体" w:hAnsi="宋体"/>
          <w:color w:val="auto"/>
          <w:highlight w:val="none"/>
        </w:rPr>
        <w:t>载明的项目管理成员为同一人；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（4）不同比选申请人的</w:t>
      </w:r>
      <w:r>
        <w:rPr>
          <w:rFonts w:hint="eastAsia" w:ascii="宋体" w:hAnsi="宋体"/>
          <w:color w:val="auto"/>
          <w:highlight w:val="none"/>
        </w:rPr>
        <w:t>比选申请文件</w:t>
      </w:r>
      <w:r>
        <w:rPr>
          <w:rFonts w:ascii="宋体" w:hAnsi="宋体"/>
          <w:color w:val="auto"/>
          <w:highlight w:val="none"/>
        </w:rPr>
        <w:t>异常一致或者投标报价呈规律性差异；</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（5）不同比选申请人的</w:t>
      </w:r>
      <w:r>
        <w:rPr>
          <w:rFonts w:hint="eastAsia" w:ascii="宋体" w:hAnsi="宋体"/>
          <w:color w:val="auto"/>
          <w:highlight w:val="none"/>
        </w:rPr>
        <w:t>比选申请文件</w:t>
      </w:r>
      <w:r>
        <w:rPr>
          <w:rFonts w:ascii="宋体" w:hAnsi="宋体"/>
          <w:color w:val="auto"/>
          <w:highlight w:val="none"/>
        </w:rPr>
        <w:t>相互混装；</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（6）不同比选申请人的投标保证金从同一单位或者个人的账户转出。</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比选申请人有下列情形之一的，属于以其他方式弄虚作假的行为：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pPr>
        <w:pStyle w:val="5"/>
        <w:snapToGrid w:val="0"/>
        <w:spacing w:before="0" w:after="0" w:line="360" w:lineRule="auto"/>
        <w:rPr>
          <w:rFonts w:ascii="宋体" w:hAnsi="宋体"/>
          <w:b w:val="0"/>
          <w:snapToGrid w:val="0"/>
          <w:color w:val="auto"/>
          <w:sz w:val="24"/>
          <w:szCs w:val="24"/>
          <w:highlight w:val="none"/>
        </w:rPr>
      </w:pPr>
      <w:bookmarkStart w:id="530" w:name="_Toc59"/>
      <w:bookmarkStart w:id="531" w:name="_Toc224103366"/>
      <w:bookmarkStart w:id="532" w:name="_Toc287620734"/>
      <w:bookmarkStart w:id="533" w:name="_Toc430530484"/>
      <w:bookmarkStart w:id="534" w:name="_Toc277082601"/>
      <w:bookmarkStart w:id="535" w:name="_Toc27742"/>
      <w:bookmarkStart w:id="536" w:name="_Toc287607795"/>
      <w:bookmarkStart w:id="537" w:name="_Toc200513175"/>
      <w:bookmarkStart w:id="538" w:name="_Toc509218759"/>
      <w:r>
        <w:rPr>
          <w:rFonts w:ascii="宋体" w:hAnsi="宋体"/>
          <w:b w:val="0"/>
          <w:snapToGrid w:val="0"/>
          <w:color w:val="auto"/>
          <w:sz w:val="24"/>
          <w:szCs w:val="24"/>
          <w:highlight w:val="none"/>
        </w:rPr>
        <w:t>9.3  对评标委员会成员的纪律要求</w:t>
      </w:r>
      <w:bookmarkEnd w:id="530"/>
      <w:bookmarkEnd w:id="531"/>
      <w:bookmarkEnd w:id="532"/>
      <w:bookmarkEnd w:id="533"/>
      <w:bookmarkEnd w:id="534"/>
      <w:bookmarkEnd w:id="535"/>
      <w:bookmarkEnd w:id="536"/>
      <w:bookmarkEnd w:id="537"/>
      <w:bookmarkEnd w:id="53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，不得对竞争性比选文件中《否决投标情况一览表》以外的内容予以否决投标，否则对评标委员会成员按《重庆市综合评标专家库和评标专家管理暂行办法》进行处理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pPr>
        <w:pStyle w:val="5"/>
        <w:snapToGrid w:val="0"/>
        <w:spacing w:before="0" w:after="0" w:line="360" w:lineRule="auto"/>
        <w:rPr>
          <w:rFonts w:ascii="宋体" w:hAnsi="宋体"/>
          <w:b w:val="0"/>
          <w:snapToGrid w:val="0"/>
          <w:color w:val="auto"/>
          <w:sz w:val="24"/>
          <w:szCs w:val="24"/>
          <w:highlight w:val="none"/>
        </w:rPr>
      </w:pPr>
      <w:bookmarkStart w:id="539" w:name="_Toc277082602"/>
      <w:bookmarkStart w:id="540" w:name="_Toc430530485"/>
      <w:bookmarkStart w:id="541" w:name="_Toc509218760"/>
      <w:bookmarkStart w:id="542" w:name="_Toc12311"/>
      <w:bookmarkStart w:id="543" w:name="_Toc287607796"/>
      <w:bookmarkStart w:id="544" w:name="_Toc287620735"/>
      <w:bookmarkStart w:id="545" w:name="_Toc17353"/>
      <w:bookmarkStart w:id="546" w:name="_Toc224103367"/>
      <w:bookmarkStart w:id="547" w:name="_Toc200513176"/>
      <w:r>
        <w:rPr>
          <w:rFonts w:ascii="宋体" w:hAnsi="宋体"/>
          <w:b w:val="0"/>
          <w:snapToGrid w:val="0"/>
          <w:color w:val="auto"/>
          <w:sz w:val="24"/>
          <w:szCs w:val="24"/>
          <w:highlight w:val="none"/>
        </w:rPr>
        <w:t>9.4  对与评标活动有关的工作人员的纪律要求</w:t>
      </w:r>
      <w:bookmarkEnd w:id="539"/>
      <w:bookmarkEnd w:id="540"/>
      <w:bookmarkEnd w:id="541"/>
      <w:bookmarkEnd w:id="542"/>
      <w:bookmarkEnd w:id="543"/>
      <w:bookmarkEnd w:id="544"/>
      <w:bookmarkEnd w:id="545"/>
      <w:bookmarkEnd w:id="546"/>
      <w:bookmarkEnd w:id="54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color w:val="auto"/>
          <w:sz w:val="24"/>
          <w:szCs w:val="24"/>
          <w:highlight w:val="none"/>
        </w:rPr>
      </w:pPr>
      <w:bookmarkStart w:id="548" w:name="_Toc430530486"/>
      <w:bookmarkStart w:id="549" w:name="_Toc25491"/>
      <w:bookmarkStart w:id="550" w:name="_Toc17234"/>
      <w:bookmarkStart w:id="551" w:name="_Toc509218761"/>
      <w:bookmarkStart w:id="552" w:name="_Toc287607797"/>
      <w:bookmarkStart w:id="553" w:name="_Toc224103368"/>
      <w:bookmarkStart w:id="554" w:name="_Toc200513177"/>
      <w:bookmarkStart w:id="555" w:name="_Toc287620736"/>
      <w:bookmarkStart w:id="556" w:name="_Toc277082603"/>
      <w:r>
        <w:rPr>
          <w:rFonts w:ascii="宋体" w:hAnsi="宋体"/>
          <w:b w:val="0"/>
          <w:snapToGrid w:val="0"/>
          <w:color w:val="auto"/>
          <w:sz w:val="24"/>
          <w:szCs w:val="24"/>
          <w:highlight w:val="none"/>
        </w:rPr>
        <w:t>9.5  投诉</w:t>
      </w:r>
      <w:bookmarkEnd w:id="548"/>
      <w:bookmarkEnd w:id="549"/>
      <w:bookmarkEnd w:id="550"/>
      <w:bookmarkEnd w:id="551"/>
      <w:bookmarkEnd w:id="552"/>
      <w:bookmarkEnd w:id="553"/>
      <w:bookmarkEnd w:id="554"/>
      <w:bookmarkEnd w:id="555"/>
      <w:bookmarkEnd w:id="55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比选申请人和其他利害关系人认为本次比选活动违反法律、法规和规章规定的，有权向有关行政监督部门投诉。</w:t>
      </w:r>
    </w:p>
    <w:p>
      <w:pPr>
        <w:pStyle w:val="4"/>
        <w:spacing w:before="0" w:after="0" w:line="360" w:lineRule="auto"/>
        <w:rPr>
          <w:rFonts w:ascii="宋体" w:hAnsi="宋体"/>
          <w:b w:val="0"/>
          <w:snapToGrid w:val="0"/>
          <w:color w:val="auto"/>
          <w:highlight w:val="none"/>
        </w:rPr>
      </w:pPr>
      <w:bookmarkStart w:id="557" w:name="_Toc287620737"/>
      <w:bookmarkStart w:id="558" w:name="_Toc509218762"/>
      <w:bookmarkStart w:id="559" w:name="_Toc13382"/>
      <w:bookmarkStart w:id="560" w:name="_Toc430530487"/>
      <w:bookmarkStart w:id="561" w:name="_Toc287607798"/>
      <w:bookmarkStart w:id="562" w:name="_Toc277082604"/>
      <w:bookmarkStart w:id="563" w:name="_Toc21815"/>
      <w:bookmarkStart w:id="564" w:name="_Toc224103369"/>
      <w:bookmarkStart w:id="565" w:name="_Toc200513178"/>
      <w:r>
        <w:rPr>
          <w:rFonts w:ascii="宋体" w:hAnsi="宋体"/>
          <w:b w:val="0"/>
          <w:snapToGrid w:val="0"/>
          <w:color w:val="auto"/>
          <w:highlight w:val="none"/>
        </w:rPr>
        <w:t>10. 需要补充的其他内容</w:t>
      </w:r>
      <w:bookmarkEnd w:id="557"/>
      <w:bookmarkEnd w:id="558"/>
      <w:bookmarkEnd w:id="559"/>
      <w:bookmarkEnd w:id="560"/>
      <w:bookmarkEnd w:id="561"/>
      <w:bookmarkEnd w:id="562"/>
      <w:bookmarkEnd w:id="563"/>
      <w:bookmarkEnd w:id="564"/>
      <w:bookmarkEnd w:id="565"/>
    </w:p>
    <w:p>
      <w:pPr>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需要补充的其他内容：</w:t>
      </w:r>
      <w:r>
        <w:rPr>
          <w:rFonts w:hint="eastAsia" w:ascii="宋体" w:hAnsi="宋体"/>
          <w:snapToGrid w:val="0"/>
          <w:color w:val="auto"/>
          <w:kern w:val="0"/>
          <w:szCs w:val="21"/>
          <w:highlight w:val="none"/>
        </w:rPr>
        <w:t>资格审查中的承诺必须法定代表人签字，否则视为不响应比选文件要求。</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pPr>
        <w:autoSpaceDE w:val="0"/>
        <w:autoSpaceDN w:val="0"/>
        <w:adjustRightInd w:val="0"/>
        <w:snapToGrid w:val="0"/>
        <w:spacing w:line="360" w:lineRule="auto"/>
        <w:jc w:val="left"/>
        <w:rPr>
          <w:rFonts w:ascii="宋体" w:hAnsi="宋体"/>
          <w:b/>
          <w:snapToGrid w:val="0"/>
          <w:color w:val="auto"/>
          <w:kern w:val="0"/>
          <w:highlight w:val="none"/>
        </w:rPr>
      </w:pPr>
    </w:p>
    <w:p>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hint="eastAsia" w:ascii="宋体" w:hAnsi="宋体"/>
          <w:snapToGrid w:val="0"/>
          <w:color w:val="auto"/>
          <w:kern w:val="0"/>
          <w:szCs w:val="21"/>
          <w:highlight w:val="none"/>
        </w:rPr>
        <w:t>比选时间</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6"/>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260"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比选申请人</w:t>
            </w:r>
          </w:p>
        </w:tc>
        <w:tc>
          <w:tcPr>
            <w:tcW w:w="1134"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密封情况</w:t>
            </w:r>
          </w:p>
        </w:tc>
        <w:tc>
          <w:tcPr>
            <w:tcW w:w="1559" w:type="dxa"/>
            <w:tcBorders>
              <w:right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投标总报价</w:t>
            </w:r>
          </w:p>
        </w:tc>
        <w:tc>
          <w:tcPr>
            <w:tcW w:w="1560" w:type="dxa"/>
            <w:tcBorders>
              <w:left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安全文明施工费暂定金额</w:t>
            </w:r>
          </w:p>
        </w:tc>
        <w:tc>
          <w:tcPr>
            <w:tcW w:w="1275"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质量目标</w:t>
            </w:r>
          </w:p>
        </w:tc>
        <w:tc>
          <w:tcPr>
            <w:tcW w:w="993"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1285"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项目经理</w:t>
            </w:r>
          </w:p>
        </w:tc>
        <w:tc>
          <w:tcPr>
            <w:tcW w:w="947"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311"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10064" w:type="dxa"/>
            <w:gridSpan w:val="8"/>
            <w:tcBorders>
              <w:bottom w:val="single" w:color="auto" w:sz="4" w:space="0"/>
            </w:tcBorders>
            <w:vAlign w:val="center"/>
          </w:tcPr>
          <w:p>
            <w:pPr>
              <w:autoSpaceDE w:val="0"/>
              <w:autoSpaceDN w:val="0"/>
              <w:adjustRightInd w:val="0"/>
              <w:snapToGrid w:val="0"/>
              <w:jc w:val="left"/>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color w:val="auto"/>
                <w:szCs w:val="21"/>
                <w:highlight w:val="none"/>
              </w:rPr>
              <w:t>最高限价的8</w:t>
            </w:r>
            <w:r>
              <w:rPr>
                <w:color w:val="auto"/>
                <w:szCs w:val="21"/>
                <w:highlight w:val="none"/>
              </w:rPr>
              <w:t>5</w:t>
            </w:r>
            <w:r>
              <w:rPr>
                <w:rFonts w:hint="eastAsia"/>
                <w:color w:val="auto"/>
                <w:szCs w:val="21"/>
                <w:highlight w:val="none"/>
              </w:rPr>
              <w:t>%</w:t>
            </w:r>
          </w:p>
        </w:tc>
        <w:tc>
          <w:tcPr>
            <w:tcW w:w="10064" w:type="dxa"/>
            <w:gridSpan w:val="8"/>
            <w:tcBorders>
              <w:top w:val="single" w:color="auto" w:sz="4" w:space="0"/>
            </w:tcBorders>
            <w:vAlign w:val="center"/>
          </w:tcPr>
          <w:p>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ascii="宋体" w:hAnsi="宋体"/>
          <w:snapToGrid w:val="0"/>
          <w:color w:val="auto"/>
          <w:kern w:val="0"/>
          <w:szCs w:val="21"/>
          <w:highlight w:val="none"/>
        </w:rPr>
        <w:t>比选人代表：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autoSpaceDE w:val="0"/>
        <w:autoSpaceDN w:val="0"/>
        <w:adjustRightInd w:val="0"/>
        <w:snapToGrid w:val="0"/>
        <w:spacing w:before="62" w:beforeLines="20" w:line="360" w:lineRule="auto"/>
        <w:rPr>
          <w:rFonts w:ascii="宋体" w:hAnsi="宋体"/>
          <w:snapToGrid w:val="0"/>
          <w:color w:val="auto"/>
          <w:kern w:val="0"/>
          <w:sz w:val="24"/>
          <w:highlight w:val="none"/>
        </w:rPr>
      </w:pPr>
      <w:r>
        <w:rPr>
          <w:rFonts w:ascii="宋体" w:hAnsi="宋体"/>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：纸质投标保函递交情况一览表（如有）</w:t>
      </w:r>
    </w:p>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（项目名称）纸质投标保函</w:t>
      </w:r>
      <w:r>
        <w:rPr>
          <w:rFonts w:hint="eastAsia" w:ascii="宋体" w:hAnsi="宋体"/>
          <w:b/>
          <w:snapToGrid w:val="0"/>
          <w:color w:val="auto"/>
          <w:w w:val="99"/>
          <w:kern w:val="0"/>
          <w:sz w:val="28"/>
          <w:szCs w:val="28"/>
          <w:highlight w:val="none"/>
          <w:u w:val="single"/>
        </w:rPr>
        <w:t>递交</w:t>
      </w:r>
      <w:r>
        <w:rPr>
          <w:rFonts w:ascii="宋体" w:hAnsi="宋体"/>
          <w:b/>
          <w:snapToGrid w:val="0"/>
          <w:color w:val="auto"/>
          <w:w w:val="99"/>
          <w:kern w:val="0"/>
          <w:sz w:val="28"/>
          <w:szCs w:val="28"/>
          <w:highlight w:val="none"/>
          <w:u w:val="single"/>
        </w:rPr>
        <w:t>情况一览表</w:t>
      </w:r>
    </w:p>
    <w:p>
      <w:pPr>
        <w:autoSpaceDE w:val="0"/>
        <w:autoSpaceDN w:val="0"/>
        <w:adjustRightInd w:val="0"/>
        <w:snapToGrid w:val="0"/>
        <w:spacing w:before="62" w:beforeLines="20" w:line="360" w:lineRule="auto"/>
        <w:ind w:firstLine="8610" w:firstLineChars="4100"/>
        <w:rPr>
          <w:rFonts w:ascii="宋体" w:hAnsi="宋体"/>
          <w:color w:val="auto"/>
          <w:szCs w:val="21"/>
          <w:highlight w:val="none"/>
        </w:rPr>
      </w:pPr>
      <w:r>
        <w:rPr>
          <w:rFonts w:hint="eastAsia" w:ascii="宋体" w:hAnsi="宋体"/>
          <w:snapToGrid w:val="0"/>
          <w:color w:val="auto"/>
          <w:kern w:val="0"/>
          <w:szCs w:val="21"/>
          <w:highlight w:val="none"/>
        </w:rPr>
        <w:t>投标截止时间</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7"/>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4160" w:type="dxa"/>
          </w:tcPr>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比选申请人</w:t>
            </w:r>
          </w:p>
        </w:tc>
        <w:tc>
          <w:tcPr>
            <w:tcW w:w="3088" w:type="dxa"/>
          </w:tcPr>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金额（元）</w:t>
            </w:r>
          </w:p>
        </w:tc>
        <w:tc>
          <w:tcPr>
            <w:tcW w:w="2987" w:type="dxa"/>
          </w:tcPr>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递交时间</w:t>
            </w:r>
          </w:p>
        </w:tc>
        <w:tc>
          <w:tcPr>
            <w:tcW w:w="3175" w:type="dxa"/>
          </w:tcPr>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bl>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ascii="宋体" w:hAnsi="宋体"/>
          <w:snapToGrid w:val="0"/>
          <w:color w:val="auto"/>
          <w:kern w:val="0"/>
          <w:szCs w:val="21"/>
          <w:highlight w:val="none"/>
        </w:rPr>
        <w:t>比选人代表：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pPr>
        <w:pStyle w:val="2"/>
        <w:jc w:val="right"/>
        <w:rPr>
          <w:color w:val="auto"/>
          <w:highlight w:val="none"/>
        </w:rPr>
      </w:pP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autoSpaceDE w:val="0"/>
        <w:autoSpaceDN w:val="0"/>
        <w:adjustRightInd w:val="0"/>
        <w:snapToGrid w:val="0"/>
        <w:spacing w:before="62" w:beforeLines="20" w:line="360" w:lineRule="auto"/>
        <w:rPr>
          <w:rFonts w:ascii="宋体" w:hAnsi="宋体"/>
          <w:color w:val="auto"/>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sectPr>
          <w:pgSz w:w="16838" w:h="11906" w:orient="landscape"/>
          <w:pgMar w:top="1304" w:right="1304" w:bottom="1134" w:left="1304" w:header="851" w:footer="992" w:gutter="0"/>
          <w:cols w:space="720" w:num="1"/>
          <w:docGrid w:type="lines" w:linePitch="312" w:charSpace="0"/>
        </w:sectPr>
      </w:pPr>
    </w:p>
    <w:p>
      <w:pPr>
        <w:autoSpaceDE w:val="0"/>
        <w:autoSpaceDN w:val="0"/>
        <w:adjustRightInd w:val="0"/>
        <w:snapToGrid w:val="0"/>
        <w:spacing w:line="360" w:lineRule="auto"/>
        <w:jc w:val="left"/>
        <w:rPr>
          <w:rFonts w:ascii="宋体" w:hAnsi="宋体"/>
          <w:b/>
          <w:snapToGrid w:val="0"/>
          <w:color w:val="auto"/>
          <w:kern w:val="0"/>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rPr>
          <w:rFonts w:ascii="宋体" w:hAnsi="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（比选申请人名称）：</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进行了仔细的审查，现需你方对下列问题以书面形式予以澄清：</w:t>
      </w:r>
    </w:p>
    <w:p>
      <w:pPr>
        <w:autoSpaceDE w:val="0"/>
        <w:autoSpaceDN w:val="0"/>
        <w:adjustRightInd w:val="0"/>
        <w:snapToGrid w:val="0"/>
        <w:spacing w:line="360" w:lineRule="auto"/>
        <w:jc w:val="left"/>
        <w:rPr>
          <w:rFonts w:ascii="宋体" w:hAnsi="宋体"/>
          <w:snapToGrid w:val="0"/>
          <w:color w:val="auto"/>
          <w:kern w:val="0"/>
          <w:sz w:val="24"/>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时前递交至</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（详细地址）或传真至</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（传真号码）。采用传真方式的，应在</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时前将原件递交至</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（详细地址）。</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8"/>
          <w:szCs w:val="28"/>
          <w:highlight w:val="none"/>
        </w:rPr>
      </w:pPr>
    </w:p>
    <w:p>
      <w:pPr>
        <w:tabs>
          <w:tab w:val="left" w:pos="6400"/>
        </w:tabs>
        <w:autoSpaceDE w:val="0"/>
        <w:autoSpaceDN w:val="0"/>
        <w:adjustRightInd w:val="0"/>
        <w:snapToGrid w:val="0"/>
        <w:spacing w:line="360" w:lineRule="auto"/>
        <w:jc w:val="right"/>
        <w:rPr>
          <w:rFonts w:ascii="宋体" w:hAnsi="宋体"/>
          <w:snapToGrid w:val="0"/>
          <w:color w:val="auto"/>
          <w:kern w:val="0"/>
          <w:sz w:val="24"/>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r>
        <w:rPr>
          <w:rFonts w:ascii="宋体" w:hAnsi="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：问题的澄清</w:t>
      </w:r>
    </w:p>
    <w:p>
      <w:pPr>
        <w:autoSpaceDE w:val="0"/>
        <w:autoSpaceDN w:val="0"/>
        <w:adjustRightInd w:val="0"/>
        <w:snapToGrid w:val="0"/>
        <w:spacing w:line="360" w:lineRule="auto"/>
        <w:jc w:val="left"/>
        <w:rPr>
          <w:rFonts w:ascii="宋体" w:hAnsi="宋体"/>
          <w:b/>
          <w:snapToGrid w:val="0"/>
          <w:color w:val="auto"/>
          <w:kern w:val="0"/>
          <w:sz w:val="10"/>
          <w:szCs w:val="10"/>
          <w:highlight w:val="none"/>
        </w:rPr>
      </w:pPr>
    </w:p>
    <w:p>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2"/>
          <w:szCs w:val="22"/>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比选申请人：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autoSpaceDE w:val="0"/>
        <w:autoSpaceDN w:val="0"/>
        <w:adjustRightInd w:val="0"/>
        <w:snapToGrid w:val="0"/>
        <w:spacing w:line="360" w:lineRule="auto"/>
        <w:jc w:val="right"/>
        <w:rPr>
          <w:rFonts w:ascii="宋体" w:hAnsi="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pStyle w:val="2"/>
        <w:rPr>
          <w:color w:val="auto"/>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五</w:t>
      </w:r>
      <w:r>
        <w:rPr>
          <w:rFonts w:ascii="宋体" w:hAnsi="宋体"/>
          <w:b/>
          <w:snapToGrid w:val="0"/>
          <w:color w:val="auto"/>
          <w:kern w:val="0"/>
          <w:highlight w:val="none"/>
        </w:rPr>
        <w:t>：中标通知书</w:t>
      </w: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重庆市建设工程中标通知书</w:t>
      </w:r>
    </w:p>
    <w:p>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ascii="宋体" w:hAnsi="宋体"/>
          <w:color w:val="auto"/>
          <w:kern w:val="0"/>
          <w:szCs w:val="21"/>
          <w:highlight w:val="none"/>
          <w:u w:val="single"/>
        </w:rPr>
        <w:t>中标单位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日开标，经评标委员会评定，确定你单位为中标人，中标额为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（其中含安全文明施工费 </w:t>
      </w:r>
      <w:r>
        <w:rPr>
          <w:rFonts w:ascii="宋体" w:hAnsi="宋体"/>
          <w:bCs/>
          <w:color w:val="auto"/>
          <w:kern w:val="0"/>
          <w:szCs w:val="21"/>
          <w:highlight w:val="none"/>
          <w:u w:val="single"/>
        </w:rPr>
        <w:t xml:space="preserve">￥    </w:t>
      </w:r>
      <w:r>
        <w:rPr>
          <w:rFonts w:ascii="宋体" w:hAnsi="宋体"/>
          <w:color w:val="auto"/>
          <w:kern w:val="0"/>
          <w:szCs w:val="21"/>
          <w:highlight w:val="none"/>
        </w:rPr>
        <w:t>）。中标工程范围：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，中标工期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你单位收到中标通知书后，在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rFonts w:hint="eastAsia" w:ascii="宋体" w:hAnsi="宋体"/>
          <w:color w:val="auto"/>
          <w:kern w:val="0"/>
          <w:szCs w:val="21"/>
          <w:highlight w:val="none"/>
        </w:rPr>
        <w:t>在此之前按竞争性比选文件第二章“比选申请人须知”第7.3款规定向我方提交履约担保。</w:t>
      </w:r>
    </w:p>
    <w:p>
      <w:pPr>
        <w:spacing w:line="360" w:lineRule="auto"/>
        <w:rPr>
          <w:rFonts w:ascii="宋体" w:hAnsi="宋体"/>
          <w:color w:val="auto"/>
          <w:kern w:val="0"/>
          <w:szCs w:val="21"/>
          <w:highlight w:val="none"/>
        </w:rPr>
      </w:pPr>
      <w:r>
        <w:rPr>
          <w:rFonts w:ascii="宋体" w:hAnsi="宋体"/>
          <w:color w:val="auto"/>
          <w:kern w:val="0"/>
          <w:szCs w:val="21"/>
          <w:highlight w:val="none"/>
        </w:rPr>
        <w:t xml:space="preserve">    特此通知。</w:t>
      </w: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比选人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ascii="宋体" w:hAnsi="宋体"/>
          <w:snapToGrid w:val="0"/>
          <w:color w:val="auto"/>
          <w:kern w:val="0"/>
          <w:szCs w:val="21"/>
          <w:highlight w:val="none"/>
        </w:rPr>
        <w:t>盖单位法人章</w:t>
      </w:r>
      <w:r>
        <w:rPr>
          <w:rFonts w:ascii="宋体" w:hAnsi="宋体"/>
          <w:color w:val="auto"/>
          <w:kern w:val="0"/>
          <w:sz w:val="24"/>
          <w:highlight w:val="none"/>
        </w:rPr>
        <w:t>）</w:t>
      </w:r>
    </w:p>
    <w:p>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法定代表人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hint="eastAsia" w:ascii="宋体" w:hAnsi="宋体"/>
          <w:color w:val="auto"/>
          <w:kern w:val="0"/>
          <w:sz w:val="24"/>
          <w:highlight w:val="none"/>
        </w:rPr>
        <w:t>签名</w:t>
      </w:r>
      <w:r>
        <w:rPr>
          <w:rFonts w:ascii="宋体" w:hAnsi="宋体"/>
          <w:color w:val="auto"/>
          <w:kern w:val="0"/>
          <w:sz w:val="24"/>
          <w:highlight w:val="none"/>
        </w:rPr>
        <w:t>或盖章）</w:t>
      </w:r>
    </w:p>
    <w:p>
      <w:pPr>
        <w:spacing w:line="480" w:lineRule="auto"/>
        <w:jc w:val="left"/>
        <w:rPr>
          <w:rFonts w:ascii="宋体" w:hAnsi="宋体"/>
          <w:color w:val="auto"/>
          <w:kern w:val="0"/>
          <w:sz w:val="24"/>
          <w:highlight w:val="none"/>
          <w:u w:val="single"/>
        </w:rPr>
      </w:pPr>
      <w:r>
        <w:rPr>
          <w:rFonts w:ascii="宋体" w:hAnsi="宋体"/>
          <w:color w:val="auto"/>
          <w:kern w:val="0"/>
          <w:sz w:val="24"/>
          <w:highlight w:val="none"/>
        </w:rPr>
        <w:t xml:space="preserve">                                 联系人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联系电话</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pPr>
        <w:spacing w:line="480" w:lineRule="auto"/>
        <w:jc w:val="right"/>
        <w:rPr>
          <w:rFonts w:ascii="宋体" w:hAnsi="宋体"/>
          <w:color w:val="auto"/>
          <w:kern w:val="0"/>
          <w:sz w:val="24"/>
          <w:highlight w:val="none"/>
        </w:rPr>
      </w:pPr>
    </w:p>
    <w:p>
      <w:pPr>
        <w:spacing w:line="480" w:lineRule="auto"/>
        <w:jc w:val="right"/>
        <w:rPr>
          <w:rFonts w:ascii="宋体" w:hAnsi="宋体"/>
          <w:color w:val="auto"/>
          <w:kern w:val="0"/>
          <w:sz w:val="24"/>
          <w:highlight w:val="none"/>
        </w:rPr>
      </w:pPr>
    </w:p>
    <w:p>
      <w:pPr>
        <w:spacing w:line="480" w:lineRule="auto"/>
        <w:jc w:val="right"/>
        <w:rPr>
          <w:rFonts w:ascii="宋体" w:hAnsi="宋体"/>
          <w:color w:val="auto"/>
          <w:kern w:val="0"/>
          <w:sz w:val="24"/>
          <w:highlight w:val="none"/>
        </w:rPr>
      </w:pPr>
      <w:r>
        <w:rPr>
          <w:rFonts w:ascii="宋体" w:hAnsi="宋体"/>
          <w:color w:val="auto"/>
          <w:kern w:val="0"/>
          <w:sz w:val="24"/>
          <w:highlight w:val="none"/>
        </w:rPr>
        <w:t xml:space="preserve">                   签发日期</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年</w:t>
      </w:r>
      <w:r>
        <w:rPr>
          <w:rFonts w:ascii="宋体" w:hAnsi="宋体"/>
          <w:color w:val="auto"/>
          <w:kern w:val="0"/>
          <w:sz w:val="24"/>
          <w:highlight w:val="none"/>
          <w:u w:val="single"/>
        </w:rPr>
        <w:t xml:space="preserve">     </w:t>
      </w:r>
      <w:r>
        <w:rPr>
          <w:rFonts w:ascii="宋体" w:hAnsi="宋体"/>
          <w:color w:val="auto"/>
          <w:kern w:val="0"/>
          <w:sz w:val="24"/>
          <w:highlight w:val="none"/>
        </w:rPr>
        <w:t>月</w:t>
      </w:r>
      <w:r>
        <w:rPr>
          <w:rFonts w:ascii="宋体" w:hAnsi="宋体"/>
          <w:color w:val="auto"/>
          <w:kern w:val="0"/>
          <w:sz w:val="24"/>
          <w:highlight w:val="none"/>
          <w:u w:val="single"/>
        </w:rPr>
        <w:t xml:space="preserve">     </w:t>
      </w:r>
      <w:r>
        <w:rPr>
          <w:rFonts w:ascii="宋体" w:hAnsi="宋体"/>
          <w:color w:val="auto"/>
          <w:kern w:val="0"/>
          <w:sz w:val="24"/>
          <w:highlight w:val="none"/>
        </w:rPr>
        <w:t>日</w:t>
      </w:r>
    </w:p>
    <w:p>
      <w:pPr>
        <w:pStyle w:val="3"/>
        <w:spacing w:line="360" w:lineRule="auto"/>
        <w:jc w:val="center"/>
        <w:rPr>
          <w:rFonts w:ascii="宋体" w:hAnsi="宋体"/>
          <w:snapToGrid w:val="0"/>
          <w:color w:val="auto"/>
          <w:kern w:val="0"/>
          <w:highlight w:val="none"/>
        </w:rPr>
      </w:pPr>
      <w:r>
        <w:rPr>
          <w:rFonts w:ascii="宋体" w:hAnsi="宋体"/>
          <w:color w:val="auto"/>
          <w:kern w:val="0"/>
          <w:sz w:val="24"/>
          <w:highlight w:val="none"/>
        </w:rPr>
        <w:br w:type="page"/>
      </w:r>
      <w:bookmarkStart w:id="566" w:name="_Toc20466"/>
      <w:bookmarkStart w:id="567" w:name="_Toc10324"/>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66"/>
      <w:bookmarkEnd w:id="567"/>
    </w:p>
    <w:p>
      <w:pPr>
        <w:keepNext/>
        <w:keepLines/>
        <w:spacing w:before="100" w:after="100" w:line="360" w:lineRule="auto"/>
        <w:outlineLvl w:val="1"/>
        <w:rPr>
          <w:rFonts w:ascii="宋体" w:hAnsi="宋体"/>
          <w:b/>
          <w:color w:val="auto"/>
          <w:sz w:val="32"/>
          <w:szCs w:val="32"/>
          <w:highlight w:val="none"/>
        </w:rPr>
      </w:pPr>
      <w:bookmarkStart w:id="568" w:name="_Toc14792"/>
      <w:bookmarkStart w:id="569" w:name="_Toc32275"/>
      <w:r>
        <w:rPr>
          <w:rFonts w:hint="eastAsia" w:ascii="宋体" w:hAnsi="宋体"/>
          <w:b/>
          <w:color w:val="auto"/>
          <w:sz w:val="32"/>
          <w:szCs w:val="32"/>
          <w:highlight w:val="none"/>
        </w:rPr>
        <w:t>评标办法前附表</w:t>
      </w:r>
      <w:bookmarkEnd w:id="568"/>
      <w:bookmarkEnd w:id="569"/>
    </w:p>
    <w:p>
      <w:pPr>
        <w:spacing w:line="400" w:lineRule="exact"/>
        <w:ind w:firstLine="427" w:firstLineChars="196"/>
        <w:rPr>
          <w:rFonts w:ascii="宋体" w:hAnsi="宋体"/>
          <w:color w:val="auto"/>
          <w:spacing w:val="4"/>
          <w:kern w:val="0"/>
          <w:szCs w:val="21"/>
          <w:highlight w:val="none"/>
        </w:rPr>
      </w:pPr>
      <w:bookmarkStart w:id="570" w:name="_Toc13210726"/>
      <w:r>
        <w:rPr>
          <w:rFonts w:ascii="宋体" w:hAnsi="宋体"/>
          <w:color w:val="auto"/>
          <w:spacing w:val="4"/>
          <w:kern w:val="0"/>
          <w:szCs w:val="21"/>
          <w:highlight w:val="none"/>
        </w:rPr>
        <w:t>评标办法中的评审内容必须和比选申请人须知中的对应内容一致，若比选申请人须知中未作要求的内容，不得列入评标办法作为评定依据。</w:t>
      </w:r>
      <w:bookmarkEnd w:id="570"/>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pStyle w:val="95"/>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pPr>
              <w:pStyle w:val="95"/>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比选申请人中按报价由低到高推荐中标候选人，或根据比选人授权直接确定中标人。若出现比选申请人投标报价相同的，由评标委员会按照</w:t>
            </w:r>
            <w:r>
              <w:rPr>
                <w:rFonts w:hint="eastAsia" w:ascii="宋体" w:hAnsi="宋体"/>
                <w:color w:val="auto"/>
                <w:spacing w:val="4"/>
                <w:kern w:val="0"/>
                <w:szCs w:val="21"/>
                <w:highlight w:val="none"/>
                <w:u w:val="single"/>
              </w:rPr>
              <w:t xml:space="preserve">         随机抽取</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对报价不高于最高限价的所有比选申请人的比选申请文件，按照报价由低到高的顺序排列。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取报价排序前□5□6☑7名（若实际比选申请人数量小于勾选数量，</w:t>
            </w:r>
            <w:r>
              <w:rPr>
                <w:rFonts w:hint="eastAsia" w:ascii="宋体" w:hAnsi="宋体"/>
                <w:color w:val="auto"/>
                <w:spacing w:val="4"/>
                <w:kern w:val="0"/>
                <w:szCs w:val="21"/>
                <w:highlight w:val="none"/>
              </w:rPr>
              <w:t>则全部纳入）进行符合性审查。符合性审查内容：技术方案评审、资格评审、形式评审、响应性评审。符合性审查</w:t>
            </w:r>
            <w:r>
              <w:rPr>
                <w:rFonts w:hint="eastAsia" w:ascii="宋体" w:hAnsi="宋体"/>
                <w:color w:val="auto"/>
                <w:kern w:val="0"/>
                <w:highlight w:val="none"/>
              </w:rPr>
              <w:t>合格的比选申请人中，报价最低的成为第一中标候选人，报价次低的成为第二中标候选人，依次类推。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技术方案</w:t>
            </w:r>
            <w:r>
              <w:rPr>
                <w:rFonts w:hint="eastAsia" w:ascii="宋体" w:hAnsi="宋体"/>
                <w:color w:val="auto"/>
                <w:kern w:val="0"/>
                <w:highlight w:val="none"/>
              </w:rPr>
              <w:t>评审</w:t>
            </w:r>
            <w:r>
              <w:rPr>
                <w:rFonts w:ascii="宋体" w:hAnsi="宋体"/>
                <w:color w:val="auto"/>
                <w:kern w:val="0"/>
                <w:highlight w:val="none"/>
              </w:rPr>
              <w:t>标准</w:t>
            </w:r>
          </w:p>
        </w:tc>
        <w:tc>
          <w:tcPr>
            <w:tcW w:w="2267" w:type="dxa"/>
            <w:tcBorders>
              <w:left w:val="single" w:color="auto" w:sz="4" w:space="0"/>
              <w:right w:val="single" w:color="auto" w:sz="4" w:space="0"/>
            </w:tcBorders>
            <w:vAlign w:val="center"/>
          </w:tcPr>
          <w:p>
            <w:pPr>
              <w:snapToGrid w:val="0"/>
              <w:spacing w:line="360" w:lineRule="exact"/>
              <w:jc w:val="left"/>
              <w:rPr>
                <w:rFonts w:ascii="宋体" w:hAnsi="宋体" w:cs="宋体"/>
                <w:color w:val="auto"/>
                <w:kern w:val="0"/>
                <w:highlight w:val="none"/>
              </w:rPr>
            </w:pPr>
            <w:r>
              <w:rPr>
                <w:rFonts w:hint="eastAsia" w:ascii="宋体" w:hAnsi="宋体" w:cs="宋体"/>
                <w:color w:val="auto"/>
                <w:kern w:val="0"/>
                <w:highlight w:val="none"/>
              </w:rPr>
              <w:t>对工程施工重点、技术关键点的理解和认识</w:t>
            </w:r>
          </w:p>
        </w:tc>
        <w:tc>
          <w:tcPr>
            <w:tcW w:w="4615" w:type="dxa"/>
            <w:tcBorders>
              <w:left w:val="single" w:color="auto" w:sz="4" w:space="0"/>
              <w:bottom w:val="single" w:color="auto" w:sz="4" w:space="0"/>
            </w:tcBorders>
            <w:vAlign w:val="center"/>
          </w:tcPr>
          <w:p>
            <w:pPr>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论述完整清晰，工程施工重点、技术关键点符合实际及符合规范、设计，科学可行，评标委员会综合评判是否满足本工程需求：满足/不满足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p>
          <w:p>
            <w:pPr>
              <w:snapToGrid w:val="0"/>
              <w:spacing w:line="400" w:lineRule="exact"/>
              <w:jc w:val="left"/>
              <w:rPr>
                <w:rFonts w:ascii="宋体" w:hAnsi="宋体" w:cs="宋体"/>
                <w:color w:val="auto"/>
                <w:kern w:val="0"/>
                <w:highlight w:val="none"/>
              </w:rPr>
            </w:pPr>
          </w:p>
          <w:p>
            <w:pPr>
              <w:snapToGrid w:val="0"/>
              <w:spacing w:line="400" w:lineRule="exact"/>
              <w:jc w:val="left"/>
              <w:rPr>
                <w:rFonts w:ascii="宋体" w:hAnsi="宋体" w:cs="宋体"/>
                <w:color w:val="auto"/>
                <w:kern w:val="0"/>
                <w:highlight w:val="none"/>
              </w:rPr>
            </w:pPr>
          </w:p>
          <w:p>
            <w:pPr>
              <w:snapToGrid w:val="0"/>
              <w:spacing w:line="400" w:lineRule="exact"/>
              <w:jc w:val="left"/>
              <w:rPr>
                <w:rFonts w:ascii="宋体" w:hAnsi="宋体" w:cs="宋体"/>
                <w:color w:val="auto"/>
                <w:kern w:val="0"/>
                <w:highlight w:val="none"/>
              </w:rPr>
            </w:pPr>
          </w:p>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施工方案与技术措施</w:t>
            </w:r>
          </w:p>
        </w:tc>
        <w:tc>
          <w:tcPr>
            <w:tcW w:w="4615" w:type="dxa"/>
            <w:tcBorders>
              <w:top w:val="single" w:color="auto" w:sz="4" w:space="0"/>
              <w:left w:val="single" w:color="auto" w:sz="4" w:space="0"/>
              <w:bottom w:val="single" w:color="auto" w:sz="4" w:space="0"/>
            </w:tcBorders>
            <w:vAlign w:val="center"/>
          </w:tcPr>
          <w:p>
            <w:pPr>
              <w:snapToGrid w:val="0"/>
              <w:spacing w:after="31" w:afterLines="10"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施工方案具有①工程概况；②施工现场条件， 具体工作内容；③施工工艺流程及施工工艺，即具体施工做法及过程；④进度控制；⑤材料要求及控制；⑥施工机械及人员安排；⑦安全、文明施工及绿色施工要求；⑧技术质量控制措施等；⑨针对具体的施工方案或施工工艺环节中的一些重点和难点，做出必要的施工过程的安排；对具体做法提出一些具体的做法要求；⑩采取有效方法避免易造成的质量安全隐患；采取有效方法保证施工质量和提高施工作业的可靠性；</w:t>
            </w:r>
            <w:r>
              <w:rPr>
                <w:rFonts w:ascii="宋体" w:hAnsi="宋体" w:cs="宋体"/>
                <w:color w:val="auto"/>
                <w:spacing w:val="4"/>
                <w:szCs w:val="21"/>
                <w:highlight w:val="none"/>
              </w:rPr>
              <w:t>各分</w:t>
            </w:r>
            <w:r>
              <w:rPr>
                <w:rFonts w:ascii="宋体" w:hAnsi="宋体" w:cs="宋体"/>
                <w:color w:val="auto"/>
                <w:spacing w:val="2"/>
                <w:szCs w:val="21"/>
                <w:highlight w:val="none"/>
              </w:rPr>
              <w:t>部分项工程的完整的施工方案、施工方法及施工工艺(文</w:t>
            </w:r>
            <w:r>
              <w:rPr>
                <w:rFonts w:ascii="宋体" w:hAnsi="宋体" w:cs="宋体"/>
                <w:color w:val="auto"/>
                <w:spacing w:val="4"/>
                <w:szCs w:val="21"/>
                <w:highlight w:val="none"/>
              </w:rPr>
              <w:t>字结合图表</w:t>
            </w:r>
            <w:r>
              <w:rPr>
                <w:rFonts w:ascii="宋体" w:hAnsi="宋体" w:cs="宋体"/>
                <w:color w:val="auto"/>
                <w:spacing w:val="3"/>
                <w:szCs w:val="21"/>
                <w:highlight w:val="none"/>
              </w:rPr>
              <w:t>)</w:t>
            </w:r>
            <w:r>
              <w:rPr>
                <w:rFonts w:ascii="宋体" w:hAnsi="宋体" w:cs="宋体"/>
                <w:color w:val="auto"/>
                <w:spacing w:val="2"/>
                <w:szCs w:val="21"/>
                <w:highlight w:val="none"/>
              </w:rPr>
              <w:t>，在施工中可能出现变更的应对措施</w:t>
            </w:r>
            <w:r>
              <w:rPr>
                <w:rFonts w:hint="eastAsia" w:ascii="宋体" w:hAnsi="宋体" w:cs="宋体"/>
                <w:color w:val="auto"/>
                <w:spacing w:val="2"/>
                <w:szCs w:val="21"/>
                <w:highlight w:val="none"/>
              </w:rPr>
              <w:t>。</w:t>
            </w:r>
            <w:r>
              <w:rPr>
                <w:rFonts w:hint="eastAsia" w:ascii="宋体" w:hAnsi="宋体" w:cs="宋体"/>
                <w:color w:val="auto"/>
                <w:kern w:val="0"/>
                <w:highlight w:val="none"/>
              </w:rPr>
              <w:t>评标委员会综合评判是否满足本工程需求：满足/不满足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p>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质量管理体系与措施</w:t>
            </w:r>
          </w:p>
        </w:tc>
        <w:tc>
          <w:tcPr>
            <w:tcW w:w="4615" w:type="dxa"/>
            <w:tcBorders>
              <w:top w:val="single" w:color="auto" w:sz="4" w:space="0"/>
              <w:left w:val="single" w:color="auto" w:sz="4" w:space="0"/>
              <w:bottom w:val="single" w:color="auto" w:sz="4" w:space="0"/>
            </w:tcBorders>
            <w:vAlign w:val="center"/>
          </w:tcPr>
          <w:p>
            <w:pPr>
              <w:snapToGrid w:val="0"/>
              <w:spacing w:after="31" w:afterLines="10" w:line="400" w:lineRule="exact"/>
              <w:rPr>
                <w:rFonts w:ascii="宋体" w:hAnsi="宋体" w:cs="宋体"/>
                <w:color w:val="auto"/>
                <w:kern w:val="0"/>
                <w:highlight w:val="none"/>
              </w:rPr>
            </w:pPr>
            <w:r>
              <w:rPr>
                <w:rFonts w:hint="eastAsia" w:ascii="宋体" w:hAnsi="宋体" w:cs="宋体"/>
                <w:color w:val="auto"/>
                <w:kern w:val="0"/>
                <w:highlight w:val="none"/>
              </w:rPr>
              <w:t>工程质量保证计划全面细致、结合实际；措施具体；责任到人；承诺因工程质量违约具有的违约责任、经济赔偿。评标委员会综合评判是否满足本工程需求：满足/不满足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kern w:val="0"/>
                <w:highlight w:val="none"/>
              </w:rPr>
            </w:pPr>
            <w:r>
              <w:rPr>
                <w:rFonts w:hint="eastAsia" w:ascii="宋体" w:hAnsi="宋体" w:cs="宋体"/>
                <w:color w:val="auto"/>
                <w:kern w:val="0"/>
                <w:highlight w:val="none"/>
              </w:rPr>
              <w:t>安全管理体系与措施</w:t>
            </w:r>
          </w:p>
        </w:tc>
        <w:tc>
          <w:tcPr>
            <w:tcW w:w="4615" w:type="dxa"/>
            <w:tcBorders>
              <w:top w:val="single" w:color="auto" w:sz="4" w:space="0"/>
              <w:left w:val="single" w:color="auto" w:sz="4" w:space="0"/>
              <w:bottom w:val="single" w:color="auto" w:sz="4" w:space="0"/>
            </w:tcBorders>
            <w:vAlign w:val="center"/>
          </w:tcPr>
          <w:p>
            <w:pPr>
              <w:snapToGrid w:val="0"/>
              <w:spacing w:after="31" w:afterLines="10" w:line="400" w:lineRule="exact"/>
              <w:rPr>
                <w:rFonts w:ascii="宋体" w:hAnsi="宋体" w:cs="宋体"/>
                <w:color w:val="auto"/>
                <w:kern w:val="0"/>
                <w:highlight w:val="none"/>
              </w:rPr>
            </w:pPr>
            <w:r>
              <w:rPr>
                <w:rFonts w:hint="eastAsia" w:ascii="宋体" w:hAnsi="宋体" w:cs="宋体"/>
                <w:color w:val="auto"/>
                <w:kern w:val="0"/>
                <w:highlight w:val="none"/>
              </w:rPr>
              <w:t>根据实际情况制定安全文明施工保证计划全面周到、完整；关键地点、工序、环节控制保障措施得力；责任人具体；承诺安全文明施工如果不达标具有的违约责任、经济赔偿责任。评标委员会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kern w:val="0"/>
                <w:highlight w:val="none"/>
              </w:rPr>
            </w:pPr>
            <w:r>
              <w:rPr>
                <w:rFonts w:hint="eastAsia" w:ascii="宋体" w:hAnsi="宋体" w:cs="宋体"/>
                <w:color w:val="auto"/>
                <w:kern w:val="0"/>
                <w:highlight w:val="none"/>
              </w:rPr>
              <w:t>环境保护管理体系措施</w:t>
            </w:r>
          </w:p>
        </w:tc>
        <w:tc>
          <w:tcPr>
            <w:tcW w:w="4615" w:type="dxa"/>
            <w:tcBorders>
              <w:top w:val="single" w:color="auto" w:sz="4" w:space="0"/>
              <w:left w:val="single" w:color="auto" w:sz="4" w:space="0"/>
              <w:bottom w:val="single" w:color="auto" w:sz="4" w:space="0"/>
            </w:tcBorders>
            <w:vAlign w:val="center"/>
          </w:tcPr>
          <w:p>
            <w:pPr>
              <w:snapToGrid w:val="0"/>
              <w:spacing w:after="31" w:afterLines="10" w:line="400" w:lineRule="exact"/>
              <w:rPr>
                <w:rFonts w:ascii="宋体" w:hAnsi="宋体" w:cs="宋体"/>
                <w:color w:val="auto"/>
                <w:kern w:val="0"/>
                <w:highlight w:val="none"/>
              </w:rPr>
            </w:pPr>
            <w:r>
              <w:rPr>
                <w:rFonts w:hint="eastAsia" w:ascii="宋体" w:hAnsi="宋体" w:cs="宋体"/>
                <w:color w:val="auto"/>
                <w:kern w:val="0"/>
                <w:highlight w:val="none"/>
              </w:rPr>
              <w:t>采取有效的措施防止施工中的燃料、化学物质等有害物质的污染；采取有效的措施防止扬尘、噪音和汽油等物质对大气的污染；</w:t>
            </w:r>
            <w:r>
              <w:rPr>
                <w:rFonts w:ascii="宋体" w:hAnsi="宋体" w:cs="宋体"/>
                <w:color w:val="auto"/>
                <w:spacing w:val="-2"/>
                <w:szCs w:val="21"/>
                <w:highlight w:val="none"/>
              </w:rPr>
              <w:t>环保和保卫；</w:t>
            </w:r>
            <w:r>
              <w:rPr>
                <w:rFonts w:hint="eastAsia" w:ascii="宋体" w:hAnsi="宋体" w:cs="宋体"/>
                <w:color w:val="auto"/>
                <w:kern w:val="0"/>
                <w:highlight w:val="none"/>
              </w:rPr>
              <w:t>施工产生的废渣有合理的处理方案；具有减少施工对周边环境的影响措施；设有专人负责协调处理施工过程中 产生的环境问题及应急处置方案和措施。评标委员会综合评判是否满足本工程需求：满足/不满足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kern w:val="0"/>
                <w:highlight w:val="none"/>
              </w:rPr>
            </w:pPr>
            <w:r>
              <w:rPr>
                <w:rFonts w:hint="eastAsia" w:ascii="宋体" w:hAnsi="宋体" w:cs="宋体"/>
                <w:color w:val="auto"/>
                <w:kern w:val="0"/>
                <w:highlight w:val="none"/>
              </w:rPr>
              <w:t>工程网络进度计划与措施</w:t>
            </w:r>
          </w:p>
        </w:tc>
        <w:tc>
          <w:tcPr>
            <w:tcW w:w="4615" w:type="dxa"/>
            <w:tcBorders>
              <w:top w:val="single" w:color="auto" w:sz="4" w:space="0"/>
              <w:left w:val="single" w:color="auto" w:sz="4" w:space="0"/>
              <w:bottom w:val="single" w:color="auto" w:sz="4" w:space="0"/>
            </w:tcBorders>
            <w:vAlign w:val="center"/>
          </w:tcPr>
          <w:p>
            <w:pPr>
              <w:snapToGrid w:val="0"/>
              <w:spacing w:after="31" w:afterLines="10" w:line="400" w:lineRule="exact"/>
              <w:rPr>
                <w:rFonts w:ascii="宋体" w:hAnsi="宋体" w:cs="宋体"/>
                <w:color w:val="auto"/>
                <w:kern w:val="0"/>
                <w:highlight w:val="none"/>
              </w:rPr>
            </w:pPr>
            <w:r>
              <w:rPr>
                <w:rFonts w:hint="eastAsia" w:ascii="宋体" w:hAnsi="宋体" w:cs="宋体"/>
                <w:color w:val="auto"/>
                <w:kern w:val="0"/>
                <w:highlight w:val="none"/>
              </w:rPr>
              <w:t>施工进度计划编制合理、可行</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并提供倒排工期图</w:t>
            </w:r>
            <w:r>
              <w:rPr>
                <w:rFonts w:hint="eastAsia" w:ascii="宋体" w:hAnsi="宋体" w:cs="宋体"/>
                <w:color w:val="auto"/>
                <w:kern w:val="0"/>
                <w:highlight w:val="none"/>
              </w:rPr>
              <w:t xml:space="preserve">；关键线路清晰、准确、完整；关键节点控制措施得力、可操作性强；保证措施可靠；具有承诺违约责任、经济赔偿。评标委员会综合评判是否满足本工程需求：满足/不满足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kern w:val="0"/>
                <w:highlight w:val="none"/>
              </w:rPr>
            </w:pPr>
            <w:r>
              <w:rPr>
                <w:rFonts w:hint="eastAsia" w:ascii="宋体" w:hAnsi="宋体" w:cs="宋体"/>
                <w:color w:val="auto"/>
                <w:kern w:val="0"/>
                <w:highlight w:val="none"/>
              </w:rPr>
              <w:t>资源配备计划</w:t>
            </w:r>
          </w:p>
        </w:tc>
        <w:tc>
          <w:tcPr>
            <w:tcW w:w="4615" w:type="dxa"/>
            <w:tcBorders>
              <w:top w:val="single" w:color="auto" w:sz="4" w:space="0"/>
              <w:left w:val="single" w:color="auto" w:sz="4" w:space="0"/>
              <w:bottom w:val="single" w:color="auto" w:sz="4" w:space="0"/>
            </w:tcBorders>
            <w:vAlign w:val="center"/>
          </w:tcPr>
          <w:p>
            <w:pPr>
              <w:snapToGrid w:val="0"/>
              <w:spacing w:after="31" w:afterLines="10" w:line="400" w:lineRule="exact"/>
              <w:rPr>
                <w:rFonts w:ascii="宋体" w:hAnsi="宋体" w:cs="宋体"/>
                <w:color w:val="auto"/>
                <w:kern w:val="0"/>
                <w:highlight w:val="none"/>
              </w:rPr>
            </w:pPr>
            <w:r>
              <w:rPr>
                <w:rFonts w:hint="eastAsia" w:ascii="宋体" w:hAnsi="宋体" w:cs="宋体"/>
                <w:color w:val="auto"/>
                <w:kern w:val="0"/>
                <w:highlight w:val="none"/>
              </w:rPr>
              <w:t>劳动力和机械设备投入能满足施工需要；投入计划与进度计划协调；调配计划合理；保证措施具体。评标委员会综合评判是否满足本工程需求：满足/不满足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项目风险预测与防范，事故应急预案</w:t>
            </w:r>
          </w:p>
        </w:tc>
        <w:tc>
          <w:tcPr>
            <w:tcW w:w="4615" w:type="dxa"/>
            <w:tcBorders>
              <w:top w:val="single" w:color="auto" w:sz="4" w:space="0"/>
              <w:left w:val="single" w:color="auto" w:sz="4" w:space="0"/>
              <w:bottom w:val="single" w:color="auto" w:sz="4" w:space="0"/>
            </w:tcBorders>
            <w:vAlign w:val="center"/>
          </w:tcPr>
          <w:p>
            <w:pPr>
              <w:spacing w:line="440" w:lineRule="exact"/>
              <w:jc w:val="left"/>
              <w:rPr>
                <w:rFonts w:ascii="宋体" w:hAnsi="宋体" w:cs="宋体"/>
                <w:color w:val="auto"/>
                <w:kern w:val="0"/>
                <w:highlight w:val="none"/>
              </w:rPr>
            </w:pPr>
            <w:r>
              <w:rPr>
                <w:rFonts w:hint="eastAsia" w:ascii="宋体" w:hAnsi="宋体" w:cs="宋体"/>
                <w:bCs/>
                <w:color w:val="auto"/>
                <w:kern w:val="0"/>
                <w:szCs w:val="21"/>
                <w:highlight w:val="none"/>
              </w:rPr>
              <w:t>是否能够分析项目在建设过程中的风险，并有相应的应对措施及应急预案。</w:t>
            </w:r>
            <w:r>
              <w:rPr>
                <w:rFonts w:hint="eastAsia" w:ascii="宋体" w:hAnsi="宋体" w:cs="宋体"/>
                <w:color w:val="auto"/>
                <w:kern w:val="0"/>
                <w:highlight w:val="none"/>
              </w:rPr>
              <w:t xml:space="preserve">评标委员会综合评判是否满足本工程需求：满足/不满足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kern w:val="0"/>
                <w:highlight w:val="none"/>
              </w:rPr>
            </w:pPr>
            <w:r>
              <w:rPr>
                <w:rFonts w:hint="eastAsia" w:ascii="宋体" w:hAnsi="宋体" w:cs="宋体"/>
                <w:color w:val="auto"/>
                <w:kern w:val="0"/>
                <w:highlight w:val="none"/>
              </w:rPr>
              <w:t>施工整体布局、规划合理，须包含施工内容</w:t>
            </w:r>
          </w:p>
        </w:tc>
        <w:tc>
          <w:tcPr>
            <w:tcW w:w="4615" w:type="dxa"/>
            <w:tcBorders>
              <w:top w:val="single" w:color="auto" w:sz="4" w:space="0"/>
              <w:left w:val="single" w:color="auto" w:sz="4" w:space="0"/>
              <w:bottom w:val="single" w:color="auto" w:sz="4" w:space="0"/>
            </w:tcBorders>
            <w:vAlign w:val="center"/>
          </w:tcPr>
          <w:p>
            <w:pPr>
              <w:snapToGrid w:val="0"/>
              <w:spacing w:after="31" w:afterLines="10" w:line="400" w:lineRule="exact"/>
              <w:rPr>
                <w:rFonts w:ascii="宋体" w:hAnsi="宋体" w:cs="宋体"/>
                <w:color w:val="auto"/>
                <w:kern w:val="0"/>
                <w:highlight w:val="none"/>
              </w:rPr>
            </w:pPr>
            <w:r>
              <w:rPr>
                <w:rFonts w:hint="eastAsia" w:ascii="宋体" w:hAnsi="宋体" w:cs="宋体"/>
                <w:color w:val="auto"/>
                <w:kern w:val="0"/>
                <w:highlight w:val="none"/>
              </w:rPr>
              <w:t>合理布置施工现场、能够体现与施工主体</w:t>
            </w:r>
            <w:r>
              <w:rPr>
                <w:rFonts w:hint="eastAsia" w:ascii="宋体" w:hAnsi="宋体" w:cs="宋体"/>
                <w:color w:val="auto"/>
                <w:kern w:val="0"/>
                <w:highlight w:val="none"/>
                <w:lang w:eastAsia="zh-CN"/>
              </w:rPr>
              <w:t>相</w:t>
            </w:r>
            <w:r>
              <w:rPr>
                <w:rFonts w:hint="eastAsia" w:ascii="宋体" w:hAnsi="宋体" w:cs="宋体"/>
                <w:color w:val="auto"/>
                <w:kern w:val="0"/>
                <w:highlight w:val="none"/>
              </w:rPr>
              <w:t>关联的施工</w:t>
            </w:r>
            <w:r>
              <w:rPr>
                <w:rFonts w:hint="eastAsia" w:ascii="宋体" w:hAnsi="宋体" w:cs="宋体"/>
                <w:color w:val="auto"/>
                <w:kern w:val="0"/>
                <w:highlight w:val="none"/>
                <w:lang w:eastAsia="zh-CN"/>
              </w:rPr>
              <w:t>总平面图、</w:t>
            </w:r>
            <w:r>
              <w:rPr>
                <w:rFonts w:hint="eastAsia" w:ascii="宋体" w:hAnsi="宋体" w:cs="宋体"/>
                <w:color w:val="auto"/>
                <w:kern w:val="0"/>
                <w:highlight w:val="none"/>
              </w:rPr>
              <w:t xml:space="preserve">组织及规划，确保工程实施进度。评标委员会综合评判是否满足本工程需求：满足/不满足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比选申请人名称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比选申请函签名盖章</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比选申请函格式规定签名、盖章的位置有法定代表人或其委托代理人签名（或盖章）、加盖单位法人章。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比选申请文件格式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符合第二章“比选申请人须知”第3.7款的要求。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比选申请文件份数</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符合第二章“比选申请人须知”第3.7.4项规定。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只能有一个有效报价。在竞争性比选文件没有规定的情况下，不得提交选择性报价。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比选申请文件的签署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比选申请文件格式要求法定代表人或其委托代理人签名（或盖章）的须齐全。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比选申请人法定代表人的委托代理人有法定代表人签署的授权委托书和比选申请人为其缴纳的养老保险。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投标总报价不得高于比选人公布的投标总报价最高限价。</w:t>
            </w:r>
          </w:p>
          <w:p>
            <w:pPr>
              <w:tabs>
                <w:tab w:val="left" w:pos="546"/>
                <w:tab w:val="left" w:pos="711"/>
              </w:tabs>
              <w:adjustRightInd w:val="0"/>
              <w:snapToGrid w:val="0"/>
              <w:spacing w:line="43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3.投标总报价低于最高限价85%的，比选申请人应在编制比选申请文件时，在比选申请函部分中递交低价风险担保提交承诺书。</w:t>
            </w:r>
            <w:r>
              <w:rPr>
                <w:rFonts w:hint="eastAsia" w:ascii="宋体" w:hAnsi="宋体" w:cs="宋体"/>
                <w:bCs/>
                <w:color w:val="auto"/>
                <w:szCs w:val="21"/>
                <w:highlight w:val="none"/>
              </w:rPr>
              <w:t>承诺书格式详见第八章比选申请文件格式。</w:t>
            </w:r>
            <w:r>
              <w:rPr>
                <w:rFonts w:hint="eastAsia"/>
                <w:color w:val="auto"/>
                <w:highlight w:val="none"/>
              </w:rPr>
              <w:t>投标总报价不得低于成本，投标总报价低于其最高限价85%的，应做出书面说明并提供相应的证明材料【证明材料包含：材料采购合同、资金往来证明材料、相关票据等】，比选申请人不能合理说明和不能提供相应证明材料的，认定改比选申请人以低于成本报价竞标，由评标委员会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暂列金额、暂估价、安全文明施工费等暂定金额必须按照竞争性比选文件给定的金额填报。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符合第二章“比选申请人须知”第1.3.1项规定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符合第二章“比选申请人须知”第1.3.2项规定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符合第二章“比选申请人须知”第1.3.3项规定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符合第二章“比选申请人须知”第3.3.1项规定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符合第二章“比选申请人须知前附表”第3.4项规定。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符合第四章“合同条款及格式”规定，比选申请文件不应附有比选人不能接受的条件。（由比选申请人承诺，承诺书格式详见第八章比选申请文件格式。）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符合第七章“技术标准和要求”规定。（由比选申请人承诺，承诺书格式详见第八章比选申请文件格式。）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比选申请人承诺满足以下内容：</w:t>
            </w:r>
          </w:p>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1.符合第五章“工程量清单”给出的范围及数量。</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2.竞争性比选文件中规定工程量清单不允许修改的内容不得修改。</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3.每项工程量清单综合单价报价不得高于对应工程量清单综合单价最高限价。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符合第二章“比选申请人须知”第1.4.3项规定。</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1.对报价不高于最高限价的所有比选申请人的比选申请文件，按照报价由低到高的顺序排序。</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合格的比选申请人中，报价最低的成为第一中标候选人，报价次低的成为第二中标候选人，依次类推。</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，则评标委员会对剩余比选申请文件继续按上述第2条进行评审，直至评出三名中标候选人，或者评审完所有比选申请文件。</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比选申请人不足三个的，评标委员会应当否决所有投标。但是有效比选申请人的经济、技术等指标仍然具有市场竞争力，并满足竞争性比选文件要求的，评标委员会可以继续评标并确定中标候选人。</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注：若出现比选申请人投标报价相同的，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 xml:space="preserve"> 随机抽取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除第二章“比选申请人须知”前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员会完成评标后，应当向比选人提交书面评标报告。</w:t>
            </w:r>
          </w:p>
        </w:tc>
      </w:tr>
    </w:tbl>
    <w:p>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71" w:name="_Toc31232"/>
      <w:bookmarkStart w:id="572" w:name="_Toc27750"/>
      <w:r>
        <w:rPr>
          <w:rFonts w:ascii="宋体" w:hAnsi="宋体"/>
          <w:b w:val="0"/>
          <w:snapToGrid w:val="0"/>
          <w:color w:val="auto"/>
          <w:highlight w:val="none"/>
        </w:rPr>
        <w:t>1.  评标方法</w:t>
      </w:r>
      <w:bookmarkEnd w:id="571"/>
      <w:bookmarkEnd w:id="572"/>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比选申请人中按报价由低到高推荐中标候选人，或根据比选人授权直接确定中标人。若出现比选申请人投标报价相同的，以评标办法前附表约定的原则确定排序。</w:t>
      </w:r>
    </w:p>
    <w:p>
      <w:pPr>
        <w:pStyle w:val="4"/>
        <w:spacing w:before="0" w:after="0" w:line="360" w:lineRule="auto"/>
        <w:rPr>
          <w:rFonts w:ascii="宋体" w:hAnsi="宋体"/>
          <w:b w:val="0"/>
          <w:snapToGrid w:val="0"/>
          <w:color w:val="auto"/>
          <w:highlight w:val="none"/>
        </w:rPr>
      </w:pPr>
      <w:bookmarkStart w:id="573" w:name="_Toc3951"/>
      <w:bookmarkStart w:id="574" w:name="_Toc20502"/>
      <w:r>
        <w:rPr>
          <w:rFonts w:ascii="宋体" w:hAnsi="宋体"/>
          <w:b w:val="0"/>
          <w:snapToGrid w:val="0"/>
          <w:color w:val="auto"/>
          <w:highlight w:val="none"/>
        </w:rPr>
        <w:t>2.  评审标准</w:t>
      </w:r>
      <w:bookmarkEnd w:id="573"/>
      <w:bookmarkEnd w:id="574"/>
    </w:p>
    <w:p>
      <w:pPr>
        <w:pStyle w:val="5"/>
        <w:spacing w:before="0" w:after="0" w:line="360" w:lineRule="auto"/>
        <w:rPr>
          <w:rFonts w:ascii="宋体" w:hAnsi="宋体" w:cs="宋体"/>
          <w:color w:val="auto"/>
          <w:sz w:val="21"/>
          <w:szCs w:val="21"/>
          <w:highlight w:val="none"/>
        </w:rPr>
      </w:pPr>
      <w:bookmarkStart w:id="575" w:name="_Toc3739"/>
      <w:bookmarkStart w:id="576" w:name="_Toc29036"/>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75"/>
      <w:r>
        <w:rPr>
          <w:rFonts w:hint="eastAsia" w:ascii="宋体" w:hAnsi="宋体" w:cs="宋体"/>
          <w:color w:val="auto"/>
          <w:sz w:val="21"/>
          <w:szCs w:val="21"/>
          <w:highlight w:val="none"/>
        </w:rPr>
        <w:t>标准</w:t>
      </w:r>
      <w:bookmarkEnd w:id="576"/>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577" w:name="_Toc16832"/>
      <w:bookmarkStart w:id="578" w:name="_Toc27330"/>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77"/>
      <w:r>
        <w:rPr>
          <w:rFonts w:hint="eastAsia" w:ascii="宋体" w:hAnsi="宋体" w:cs="宋体"/>
          <w:color w:val="auto"/>
          <w:sz w:val="21"/>
          <w:szCs w:val="21"/>
          <w:highlight w:val="none"/>
        </w:rPr>
        <w:t>标准</w:t>
      </w:r>
      <w:bookmarkEnd w:id="578"/>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。符合性审查内容：技术方案评审、资格评审、形式评审、响应性评审。</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pStyle w:val="4"/>
        <w:spacing w:before="0" w:after="0" w:line="360" w:lineRule="auto"/>
        <w:rPr>
          <w:rFonts w:ascii="宋体" w:hAnsi="宋体"/>
          <w:b w:val="0"/>
          <w:snapToGrid w:val="0"/>
          <w:color w:val="auto"/>
          <w:highlight w:val="none"/>
        </w:rPr>
      </w:pPr>
      <w:bookmarkStart w:id="579" w:name="_Toc20042"/>
      <w:bookmarkStart w:id="580" w:name="_Toc6630"/>
      <w:r>
        <w:rPr>
          <w:rFonts w:ascii="宋体" w:hAnsi="宋体"/>
          <w:b w:val="0"/>
          <w:snapToGrid w:val="0"/>
          <w:color w:val="auto"/>
          <w:highlight w:val="none"/>
        </w:rPr>
        <w:t>3.  评标程序</w:t>
      </w:r>
      <w:bookmarkEnd w:id="579"/>
      <w:bookmarkEnd w:id="580"/>
    </w:p>
    <w:p>
      <w:pPr>
        <w:pStyle w:val="5"/>
        <w:spacing w:before="0" w:after="0" w:line="360" w:lineRule="auto"/>
        <w:rPr>
          <w:rFonts w:ascii="宋体" w:hAnsi="宋体" w:cs="宋体"/>
          <w:color w:val="auto"/>
          <w:sz w:val="21"/>
          <w:szCs w:val="21"/>
          <w:highlight w:val="none"/>
        </w:rPr>
      </w:pPr>
      <w:bookmarkStart w:id="581" w:name="_Toc17317"/>
      <w:bookmarkStart w:id="582" w:name="_Toc27844"/>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81"/>
      <w:bookmarkEnd w:id="582"/>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对报价不高于最高限价的所有比选申请人的比选申请文件，按照报价由低到高的顺序排序。</w:t>
      </w:r>
    </w:p>
    <w:p>
      <w:pPr>
        <w:pStyle w:val="5"/>
        <w:spacing w:before="0" w:after="0" w:line="360" w:lineRule="auto"/>
        <w:rPr>
          <w:rFonts w:ascii="宋体" w:hAnsi="宋体" w:cs="宋体"/>
          <w:color w:val="auto"/>
          <w:sz w:val="21"/>
          <w:szCs w:val="21"/>
          <w:highlight w:val="none"/>
        </w:rPr>
      </w:pPr>
      <w:bookmarkStart w:id="583" w:name="_Toc23300"/>
      <w:bookmarkStart w:id="584" w:name="_Toc20241"/>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83"/>
      <w:bookmarkEnd w:id="584"/>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款规定的标准对比选申请文件进行符合性审查。符合性审查顺序：技术方案评审、资格评审、形式评审、响应性评审。</w:t>
      </w:r>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勾选技术方案评审的，符合性审查应首先进行技术方案明标审查，再按照资格、形式、响应性的顺序进行评审。有一项不符合评审标准的，作否决投标处理。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比选申请人有以下情形之一的，</w:t>
      </w:r>
      <w:r>
        <w:rPr>
          <w:rFonts w:hint="eastAsia" w:ascii="宋体" w:hAnsi="宋体" w:cs="宋体"/>
          <w:color w:val="auto"/>
          <w:szCs w:val="21"/>
          <w:highlight w:val="none"/>
        </w:rPr>
        <w:t>其比选申请文件将被否决：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）第二章“比选申请人须知”第1.4.3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投标报价有算术错误的，评标委员会按以下原则对投标报价进行修正，修正的价格经比选申请人书面确认后具有约束力，修正原则如下：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（1）比选申请文件中的大写金额与小写金额不一致的，以大写金额为准；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（2）比选申请函中的总报价与已标价工程量清单总报价不一致的，由评标委员会作否决投标处理。</w:t>
      </w:r>
    </w:p>
    <w:p>
      <w:pPr>
        <w:pStyle w:val="5"/>
        <w:spacing w:before="0" w:after="0" w:line="360" w:lineRule="auto"/>
        <w:rPr>
          <w:rFonts w:ascii="宋体" w:hAnsi="宋体" w:cs="宋体"/>
          <w:color w:val="auto"/>
          <w:sz w:val="21"/>
          <w:szCs w:val="21"/>
          <w:highlight w:val="none"/>
        </w:rPr>
      </w:pPr>
      <w:bookmarkStart w:id="585" w:name="_Toc25640"/>
      <w:bookmarkStart w:id="586" w:name="_Toc5505"/>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比选申请文件的澄清和补正</w:t>
      </w:r>
      <w:bookmarkEnd w:id="585"/>
      <w:bookmarkEnd w:id="586"/>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在评标过程中，评标委员会可以书面形式要求比选申请人对所提交比选申请文件中不明确的内容进行书面澄清或说明，或者对细微偏差进行补正。评标委员会不接受比选申请人主动提出的澄清、说明或补正。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澄清、说明和补正不得改变比选申请文件的实质性内容（算术性错误修正的除外）。比选申请人的书面澄清、说明和补正属于比选申请文件的组成部分。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评标委员会对比选申请人提交的澄清、说明或补正有疑问的，可以要求比选申请人进一步澄清、说明或补正，直至满足评标委员会的要求。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587" w:name="_Toc484465184"/>
      <w:bookmarkStart w:id="588" w:name="_Toc479262406"/>
      <w:bookmarkStart w:id="589" w:name="_Toc26860"/>
      <w:bookmarkStart w:id="590" w:name="_Toc20827"/>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87"/>
      <w:bookmarkEnd w:id="588"/>
      <w:bookmarkEnd w:id="589"/>
      <w:bookmarkEnd w:id="590"/>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除第二章“比选申请人须知”前附表授权直接确定中标人外，评标委员会按经评审的最低投标价法推荐中标候选人。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评标委员会完成评标后，应当向比选人提交书面评标报告和中标候选人名单。</w:t>
      </w:r>
    </w:p>
    <w:p>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比选申请文件存在本一览表下列情形之一的，比选申请文件视为重大偏差并作否决投标处理，否则，评标委员会不得视为重大偏差而否决比选申请人的比选申请文件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A-1比选申请人的技术方案综合性评审不合格，由评标委员会作否决投标处理。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A-2比选申请人的资质条件、营业执照及安全生产条件须满足比选申请人须知前附表第1.4.1项的要求，否则由评标委员会作否决投标处理。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A-3比选申请人的投标截止日投标资格情况须满足比选申请人须知前附表1.4.1项的要求，否则由评标委员会作否决投标处理。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A-4比选申请人的项目经理资格须满足比选申请人须知前附表第1.4.1项的要求，否则由评标委员会作否决投标处理。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8" w:hRule="atLeast"/>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A-5比选申请人的其他要求和承诺须满足比选文件要求，否则由评标委员会作否决投标处理。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A-6比选申请人名称必须与营业执照、资质证书、安全生产许可证一致，依法变更名称的应提交相应证明材料，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A-7比选申请函格式规定签名、盖章的位置有法定代表人及其委托代理人签名（或盖章）、加盖单位法人章，否则由评标委员会作否决投标处理。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A-8比选申请文件格式符合第二章“比选申请人须知”第3.7款的要求，否则由评标委员会作否决投标处理。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编制比选申请文件时不得对第八章“比选申请文件格式”的相应要素作实质性修改，否则由评标委员会作否决投标处理。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A-9比选申请文件份数符合第二章“比选申请人须知”第3.7.4项的规定，</w:t>
            </w:r>
            <w:r>
              <w:rPr>
                <w:rFonts w:hint="eastAsia" w:ascii="宋体" w:hAnsi="宋体"/>
                <w:color w:val="auto"/>
                <w:kern w:val="0"/>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A-10只能有一个有效报价。在竞争性比选文件没有规定的情况下，不得提交选择性报价，否则由评标委员会作否决投标处理。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w:t>
            </w:r>
            <w:r>
              <w:rPr>
                <w:rFonts w:hint="eastAsia" w:ascii="宋体" w:hAnsi="宋体" w:cs="宋体"/>
                <w:color w:val="auto"/>
                <w:kern w:val="0"/>
                <w:highlight w:val="none"/>
              </w:rPr>
              <w:t>第八章 比选申请文件格式要求法定代表人、委托代理人签名（或盖章）的须齐全</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A-12比选申请人法定代表人的委托代理人有法定代表人签署的授权委托书和比选申请人为其缴纳的养老保险证明材料，否则由评标委员会作否决投标处理。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A-14投标总报价不得高于比选人公布的投标总报价最高限价，否则由评标委员会作否决投标处理。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A-15投标总报价低于最高限价85%的，比选申请人应在编制比选申请文件时，在比选申请函部分中递交低价风险担保提交承诺书。承诺书格式详见第八章比选申请文件格式，否则由评标委员会作否决投标处理。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A-16暂列金额、暂估价、安全文明施工费等暂定金额必须按照竞争性比选文件给定的金额填报，否则由评标委员会作否决投标处理。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A-17投标内容符合第二章“比选申请人须知”第1.3.1项规定，否则由评标委员会作否决投标处理。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A-18工期符合第二章“比选申请人须知”第1.3.2项规定，否则由评标委员会作否决投标处理。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A-19工程质量符合第二章“比选申请人须知”第1.3.3项规定，否则由评标委员会作否决投标处理。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A-20投标有效期符合第二章“比选申请人须知”第3.3.1项规定，否则由评标委员会作否决投标处理。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w:t>
            </w:r>
            <w:r>
              <w:rPr>
                <w:rFonts w:ascii="宋体" w:hAnsi="宋体"/>
                <w:color w:val="auto"/>
                <w:szCs w:val="21"/>
                <w:highlight w:val="none"/>
              </w:rPr>
              <w:t>比选申请人应按比选申请人须知前附表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w:t>
            </w:r>
            <w:r>
              <w:rPr>
                <w:rFonts w:hint="eastAsia" w:ascii="宋体" w:hAnsi="宋体"/>
                <w:color w:val="auto"/>
                <w:szCs w:val="21"/>
                <w:highlight w:val="none"/>
              </w:rPr>
              <w:t>比选申请文件</w:t>
            </w:r>
            <w:r>
              <w:rPr>
                <w:rFonts w:ascii="宋体" w:hAnsi="宋体"/>
                <w:color w:val="auto"/>
                <w:szCs w:val="21"/>
                <w:highlight w:val="none"/>
              </w:rPr>
              <w:t>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A-22符合第四章“合同条款及格式”规定，比选申请文件不应附有比选人不能接受的条件，否则由评标委员会作否决投标处理。（由比选申请人承诺，承诺书格式详见第八章比选申请文件格式。）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A-23符合第七章“技术标准和要求”规定。否则由评标委员会作否决投标处理（如有）。（由比选申请人承诺，承诺书格式详见第八章比选申请文件格式。）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A-24比选申请人提供的关于已标价工程量清单的承诺符合竞争性比选文件的要求，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A-26比选申请人有以下情形之一的，其比选申请文件由评标委员会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1.第二章“比选申请人须知”第1.4.3项规定的任何一种情形的；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比选文件规定的其他情形。</w:t>
            </w:r>
          </w:p>
        </w:tc>
      </w:tr>
    </w:tbl>
    <w:p>
      <w:pPr>
        <w:spacing w:line="480" w:lineRule="auto"/>
        <w:jc w:val="left"/>
        <w:rPr>
          <w:rFonts w:ascii="宋体" w:hAnsi="宋体"/>
          <w:color w:val="auto"/>
          <w:kern w:val="0"/>
          <w:sz w:val="24"/>
          <w:highlight w:val="none"/>
        </w:rPr>
      </w:pPr>
    </w:p>
    <w:p>
      <w:pPr>
        <w:spacing w:line="200" w:lineRule="exact"/>
        <w:rPr>
          <w:rFonts w:ascii="宋体" w:hAnsi="宋体"/>
          <w:b/>
          <w:color w:val="auto"/>
          <w:kern w:val="0"/>
          <w:sz w:val="20"/>
          <w:szCs w:val="20"/>
          <w:highlight w:val="none"/>
        </w:rPr>
      </w:pPr>
      <w:r>
        <w:rPr>
          <w:rFonts w:ascii="宋体" w:hAnsi="宋体"/>
          <w:snapToGrid w:val="0"/>
          <w:color w:val="auto"/>
          <w:kern w:val="0"/>
          <w:highlight w:val="none"/>
        </w:rPr>
        <w:br w:type="page"/>
      </w:r>
      <w:bookmarkStart w:id="591" w:name="招标文件03章02评标办法综合评估法00"/>
      <w:bookmarkEnd w:id="591"/>
      <w:bookmarkStart w:id="592" w:name="招标文件03章02评标办法综合评估法"/>
      <w:bookmarkEnd w:id="592"/>
    </w:p>
    <w:p>
      <w:pPr>
        <w:autoSpaceDE w:val="0"/>
        <w:autoSpaceDN w:val="0"/>
        <w:adjustRightInd w:val="0"/>
        <w:snapToGrid w:val="0"/>
        <w:spacing w:before="340" w:after="330" w:line="360" w:lineRule="auto"/>
        <w:jc w:val="left"/>
        <w:rPr>
          <w:rFonts w:ascii="宋体" w:hAnsi="宋体"/>
          <w:color w:val="auto"/>
          <w:kern w:val="0"/>
          <w:sz w:val="52"/>
          <w:szCs w:val="52"/>
          <w:highlight w:val="none"/>
        </w:rPr>
      </w:pPr>
    </w:p>
    <w:p>
      <w:pPr>
        <w:pStyle w:val="3"/>
        <w:spacing w:line="360" w:lineRule="auto"/>
        <w:jc w:val="center"/>
        <w:rPr>
          <w:rFonts w:ascii="宋体" w:hAnsi="宋体"/>
          <w:color w:val="auto"/>
          <w:kern w:val="0"/>
          <w:highlight w:val="none"/>
        </w:rPr>
      </w:pPr>
      <w:bookmarkStart w:id="593" w:name="_Toc509218785"/>
      <w:bookmarkStart w:id="594" w:name="_Toc430530509"/>
      <w:bookmarkStart w:id="595" w:name="_Toc19347"/>
      <w:bookmarkStart w:id="596" w:name="_Toc8427"/>
      <w:r>
        <w:rPr>
          <w:rFonts w:hint="eastAsia" w:ascii="宋体" w:hAnsi="宋体"/>
          <w:color w:val="auto"/>
          <w:kern w:val="0"/>
          <w:highlight w:val="none"/>
        </w:rPr>
        <w:t>第四章  合同条款及格式</w:t>
      </w:r>
      <w:bookmarkEnd w:id="593"/>
      <w:bookmarkEnd w:id="594"/>
      <w:bookmarkEnd w:id="595"/>
      <w:bookmarkEnd w:id="596"/>
    </w:p>
    <w:p>
      <w:pPr>
        <w:rPr>
          <w:rFonts w:ascii="宋体" w:hAnsi="宋体"/>
          <w:color w:val="auto"/>
          <w:sz w:val="44"/>
          <w:szCs w:val="44"/>
          <w:highlight w:val="none"/>
        </w:rPr>
      </w:pPr>
      <w:r>
        <w:rPr>
          <w:rFonts w:ascii="宋体" w:hAnsi="宋体"/>
          <w:color w:val="auto"/>
          <w:highlight w:val="none"/>
        </w:rPr>
        <w:br w:type="page"/>
      </w:r>
      <w:bookmarkStart w:id="597" w:name="_Toc351203480"/>
      <w:bookmarkStart w:id="598" w:name="_Toc296503025"/>
      <w:bookmarkStart w:id="599" w:name="_Toc296890982"/>
    </w:p>
    <w:p>
      <w:pPr>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第一部分 合同协议书</w:t>
      </w:r>
    </w:p>
    <w:p>
      <w:pPr>
        <w:pStyle w:val="146"/>
        <w:snapToGrid w:val="0"/>
        <w:spacing w:before="0" w:line="360" w:lineRule="auto"/>
        <w:ind w:firstLine="562" w:firstLineChars="200"/>
        <w:rPr>
          <w:rFonts w:ascii="宋体" w:hAnsi="宋体"/>
          <w:color w:val="auto"/>
          <w:highlight w:val="none"/>
        </w:rPr>
      </w:pPr>
    </w:p>
    <w:p>
      <w:pPr>
        <w:pStyle w:val="146"/>
        <w:snapToGrid w:val="0"/>
        <w:spacing w:before="0" w:line="360" w:lineRule="auto"/>
        <w:ind w:firstLine="480" w:firstLineChars="200"/>
        <w:rPr>
          <w:rFonts w:ascii="宋体" w:hAnsi="宋体"/>
          <w:b w:val="0"/>
          <w:i/>
          <w:color w:val="auto"/>
          <w:sz w:val="24"/>
          <w:szCs w:val="24"/>
          <w:highlight w:val="none"/>
        </w:rPr>
      </w:pPr>
      <w:bookmarkStart w:id="600" w:name="_Toc28182"/>
      <w:bookmarkStart w:id="601" w:name="_Toc9255"/>
      <w:r>
        <w:rPr>
          <w:rFonts w:ascii="宋体" w:hAnsi="宋体"/>
          <w:b w:val="0"/>
          <w:i/>
          <w:color w:val="auto"/>
          <w:sz w:val="24"/>
          <w:szCs w:val="24"/>
          <w:highlight w:val="none"/>
        </w:rPr>
        <w:t>[提示</w:t>
      </w:r>
      <w:r>
        <w:rPr>
          <w:rFonts w:hint="eastAsia" w:ascii="宋体" w:hAnsi="宋体"/>
          <w:b w:val="0"/>
          <w:i/>
          <w:color w:val="auto"/>
          <w:sz w:val="24"/>
          <w:szCs w:val="24"/>
          <w:highlight w:val="none"/>
        </w:rPr>
        <w:t>：</w:t>
      </w:r>
      <w:r>
        <w:rPr>
          <w:rFonts w:ascii="宋体" w:hAnsi="宋体"/>
          <w:b w:val="0"/>
          <w:i/>
          <w:color w:val="auto"/>
          <w:sz w:val="21"/>
          <w:szCs w:val="21"/>
          <w:highlight w:val="none"/>
        </w:rPr>
        <w:t>合同协议书为示范性内容，比选人在编制竞争性比选文件时不必填写，供中标后</w:t>
      </w:r>
      <w:r>
        <w:rPr>
          <w:rFonts w:hint="eastAsia" w:ascii="宋体" w:hAnsi="宋体"/>
          <w:b w:val="0"/>
          <w:i/>
          <w:color w:val="auto"/>
          <w:sz w:val="21"/>
          <w:szCs w:val="21"/>
          <w:highlight w:val="none"/>
        </w:rPr>
        <w:t>根据实际情况</w:t>
      </w:r>
      <w:r>
        <w:rPr>
          <w:rFonts w:ascii="宋体" w:hAnsi="宋体"/>
          <w:b w:val="0"/>
          <w:i/>
          <w:color w:val="auto"/>
          <w:sz w:val="21"/>
          <w:szCs w:val="21"/>
          <w:highlight w:val="none"/>
        </w:rPr>
        <w:t>签订合同时填写。</w:t>
      </w:r>
      <w:bookmarkEnd w:id="600"/>
      <w:bookmarkEnd w:id="601"/>
      <w:r>
        <w:rPr>
          <w:rFonts w:ascii="宋体" w:hAnsi="宋体"/>
          <w:b w:val="0"/>
          <w:i/>
          <w:color w:val="auto"/>
          <w:sz w:val="24"/>
          <w:szCs w:val="24"/>
          <w:highlight w:val="none"/>
        </w:rPr>
        <w:t>]</w:t>
      </w:r>
    </w:p>
    <w:p>
      <w:pPr>
        <w:rPr>
          <w:rFonts w:ascii="宋体" w:hAnsi="宋体"/>
          <w:b/>
          <w:color w:val="auto"/>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txbxContent>
                </v:textbox>
              </v:rect>
            </w:pict>
          </mc:Fallback>
        </mc:AlternateContent>
      </w:r>
      <w:r>
        <w:rPr>
          <w:rFonts w:ascii="宋体" w:hAnsi="宋体"/>
          <w:color w:val="auto"/>
          <w:highlight w:val="none"/>
        </w:rPr>
        <w:br w:type="page"/>
      </w:r>
    </w:p>
    <w:p>
      <w:pPr>
        <w:pStyle w:val="5"/>
        <w:jc w:val="center"/>
        <w:rPr>
          <w:rFonts w:ascii="宋体" w:hAnsi="宋体"/>
          <w:b w:val="0"/>
          <w:color w:val="auto"/>
          <w:sz w:val="44"/>
          <w:szCs w:val="44"/>
          <w:highlight w:val="none"/>
        </w:rPr>
      </w:pPr>
      <w:bookmarkStart w:id="602" w:name="_Toc534185765"/>
      <w:bookmarkStart w:id="603" w:name="_Toc12845"/>
      <w:bookmarkStart w:id="604" w:name="_Toc11021"/>
      <w:bookmarkStart w:id="605" w:name="_Toc509218786"/>
      <w:bookmarkStart w:id="606" w:name="_Toc351203494"/>
      <w:r>
        <w:rPr>
          <w:rFonts w:ascii="宋体" w:hAnsi="宋体"/>
          <w:color w:val="auto"/>
          <w:sz w:val="44"/>
          <w:szCs w:val="44"/>
          <w:highlight w:val="none"/>
        </w:rPr>
        <w:t>第一部分 合同协议书</w:t>
      </w:r>
      <w:bookmarkEnd w:id="602"/>
      <w:bookmarkEnd w:id="603"/>
      <w:bookmarkEnd w:id="604"/>
      <w:bookmarkEnd w:id="605"/>
    </w:p>
    <w:bookmarkEnd w:id="606"/>
    <w:p>
      <w:pPr>
        <w:snapToGrid w:val="0"/>
        <w:spacing w:line="600" w:lineRule="exact"/>
        <w:ind w:firstLine="480" w:firstLineChars="200"/>
        <w:rPr>
          <w:rFonts w:ascii="宋体" w:hAnsi="宋体"/>
          <w:color w:val="auto"/>
          <w:sz w:val="24"/>
          <w:highlight w:val="none"/>
        </w:rPr>
      </w:pPr>
      <w:bookmarkStart w:id="607" w:name="_Toc351203632"/>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根据《中华人民共和国民法典》、《中华人民共和国建筑法》及有关法律、法规规定，遵循平等、自愿、公平和诚实信用的原则，双方就</w:t>
      </w:r>
      <w:r>
        <w:rPr>
          <w:rFonts w:hint="eastAsia" w:ascii="宋体" w:hAnsi="宋体"/>
          <w:color w:val="auto"/>
          <w:szCs w:val="21"/>
          <w:highlight w:val="none"/>
          <w:u w:val="single"/>
        </w:rPr>
        <w:t xml:space="preserve">                           </w:t>
      </w:r>
      <w:r>
        <w:rPr>
          <w:rFonts w:hint="eastAsia" w:ascii="宋体" w:hAnsi="宋体"/>
          <w:color w:val="auto"/>
          <w:szCs w:val="21"/>
          <w:highlight w:val="none"/>
        </w:rPr>
        <w:t>工程施工及有关事项协商一致，共同达成如下协议：</w:t>
      </w:r>
    </w:p>
    <w:p>
      <w:pPr>
        <w:pStyle w:val="6"/>
        <w:keepNext/>
        <w:keepLines/>
        <w:pageBreakBefore w:val="0"/>
        <w:kinsoku/>
        <w:wordWrap/>
        <w:overflowPunct/>
        <w:topLinePunct w:val="0"/>
        <w:autoSpaceDE/>
        <w:autoSpaceDN/>
        <w:bidi w:val="0"/>
        <w:adjustRightInd/>
        <w:spacing w:before="0" w:beforeAutospacing="0" w:after="0" w:afterAutospacing="0" w:line="440" w:lineRule="exact"/>
        <w:ind w:firstLine="422" w:firstLineChars="200"/>
        <w:jc w:val="both"/>
        <w:textAlignment w:val="auto"/>
        <w:rPr>
          <w:color w:val="auto"/>
          <w:kern w:val="2"/>
          <w:sz w:val="21"/>
          <w:szCs w:val="21"/>
          <w:highlight w:val="none"/>
        </w:rPr>
      </w:pPr>
      <w:bookmarkStart w:id="608" w:name="_Toc351203481"/>
      <w:bookmarkStart w:id="609" w:name="_Toc532375573"/>
      <w:bookmarkStart w:id="610" w:name="_Toc532377166"/>
      <w:r>
        <w:rPr>
          <w:rFonts w:hint="eastAsia"/>
          <w:color w:val="auto"/>
          <w:kern w:val="2"/>
          <w:sz w:val="21"/>
          <w:szCs w:val="21"/>
          <w:highlight w:val="none"/>
        </w:rPr>
        <w:t>一、工程概况</w:t>
      </w:r>
      <w:bookmarkEnd w:id="608"/>
      <w:bookmarkEnd w:id="609"/>
      <w:bookmarkEnd w:id="610"/>
    </w:p>
    <w:p>
      <w:pPr>
        <w:pageBreakBefore w:val="0"/>
        <w:kinsoku/>
        <w:wordWrap/>
        <w:overflowPunct/>
        <w:topLinePunct w:val="0"/>
        <w:autoSpaceDE/>
        <w:autoSpaceDN/>
        <w:bidi w:val="0"/>
        <w:adjustRightInd/>
        <w:snapToGrid w:val="0"/>
        <w:spacing w:beforeAutospacing="0" w:afterAutospacing="0" w:line="440" w:lineRule="exact"/>
        <w:ind w:firstLine="420" w:firstLineChars="200"/>
        <w:textAlignment w:val="auto"/>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pageBreakBefore w:val="0"/>
        <w:kinsoku/>
        <w:wordWrap/>
        <w:overflowPunct/>
        <w:topLinePunct w:val="0"/>
        <w:autoSpaceDE/>
        <w:autoSpaceDN/>
        <w:bidi w:val="0"/>
        <w:adjustRightInd/>
        <w:snapToGrid w:val="0"/>
        <w:spacing w:beforeAutospacing="0" w:afterAutospacing="0" w:line="44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pageBreakBefore w:val="0"/>
        <w:kinsoku/>
        <w:wordWrap/>
        <w:overflowPunct/>
        <w:topLinePunct w:val="0"/>
        <w:autoSpaceDE/>
        <w:autoSpaceDN/>
        <w:bidi w:val="0"/>
        <w:adjustRightInd/>
        <w:snapToGrid w:val="0"/>
        <w:spacing w:beforeAutospacing="0" w:afterAutospacing="0" w:line="44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pPr>
        <w:pageBreakBefore w:val="0"/>
        <w:kinsoku/>
        <w:wordWrap/>
        <w:overflowPunct/>
        <w:topLinePunct w:val="0"/>
        <w:autoSpaceDE/>
        <w:autoSpaceDN/>
        <w:bidi w:val="0"/>
        <w:adjustRightInd/>
        <w:snapToGrid w:val="0"/>
        <w:spacing w:beforeAutospacing="0" w:afterAutospacing="0" w:line="44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pageBreakBefore w:val="0"/>
        <w:kinsoku/>
        <w:wordWrap/>
        <w:overflowPunct/>
        <w:topLinePunct w:val="0"/>
        <w:autoSpaceDE/>
        <w:autoSpaceDN/>
        <w:bidi w:val="0"/>
        <w:adjustRightInd/>
        <w:snapToGrid w:val="0"/>
        <w:spacing w:beforeAutospacing="0" w:afterAutospacing="0" w:line="44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pageBreakBefore w:val="0"/>
        <w:kinsoku/>
        <w:wordWrap/>
        <w:overflowPunct/>
        <w:topLinePunct w:val="0"/>
        <w:autoSpaceDE/>
        <w:autoSpaceDN/>
        <w:bidi w:val="0"/>
        <w:adjustRightInd/>
        <w:snapToGrid w:val="0"/>
        <w:spacing w:beforeAutospacing="0" w:afterAutospacing="0" w:line="440" w:lineRule="exact"/>
        <w:ind w:firstLine="420" w:firstLineChars="200"/>
        <w:jc w:val="left"/>
        <w:textAlignment w:val="auto"/>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pStyle w:val="6"/>
        <w:keepNext/>
        <w:keepLines/>
        <w:pageBreakBefore w:val="0"/>
        <w:kinsoku/>
        <w:wordWrap/>
        <w:overflowPunct/>
        <w:topLinePunct w:val="0"/>
        <w:autoSpaceDE/>
        <w:autoSpaceDN/>
        <w:bidi w:val="0"/>
        <w:adjustRightInd/>
        <w:spacing w:before="0" w:beforeAutospacing="0" w:after="0" w:afterAutospacing="0" w:line="440" w:lineRule="exact"/>
        <w:ind w:firstLine="422" w:firstLineChars="200"/>
        <w:jc w:val="both"/>
        <w:textAlignment w:val="auto"/>
        <w:rPr>
          <w:color w:val="auto"/>
          <w:kern w:val="2"/>
          <w:sz w:val="21"/>
          <w:szCs w:val="21"/>
          <w:highlight w:val="none"/>
        </w:rPr>
      </w:pPr>
      <w:bookmarkStart w:id="611" w:name="_Toc351203482"/>
      <w:bookmarkStart w:id="612" w:name="_Toc532377167"/>
      <w:bookmarkStart w:id="613" w:name="_Toc532375574"/>
      <w:r>
        <w:rPr>
          <w:rFonts w:hint="eastAsia"/>
          <w:color w:val="auto"/>
          <w:kern w:val="2"/>
          <w:sz w:val="21"/>
          <w:szCs w:val="21"/>
          <w:highlight w:val="none"/>
        </w:rPr>
        <w:t>二、合同工期</w:t>
      </w:r>
      <w:bookmarkEnd w:id="611"/>
      <w:bookmarkEnd w:id="612"/>
      <w:bookmarkEnd w:id="613"/>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承包人比选申请函中承诺的工期：</w:t>
      </w:r>
      <w:r>
        <w:rPr>
          <w:rFonts w:hint="eastAsia" w:ascii="宋体" w:hAnsi="宋体"/>
          <w:bCs/>
          <w:color w:val="auto"/>
          <w:szCs w:val="21"/>
          <w:highlight w:val="none"/>
          <w:u w:val="single"/>
        </w:rPr>
        <w:t>日历天</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日，实际竣工日期以工程竣工验收合格之日为准。</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w:t>
      </w:r>
    </w:p>
    <w:p>
      <w:pPr>
        <w:pStyle w:val="6"/>
        <w:keepNext/>
        <w:keepLines/>
        <w:pageBreakBefore w:val="0"/>
        <w:kinsoku/>
        <w:wordWrap/>
        <w:overflowPunct/>
        <w:topLinePunct w:val="0"/>
        <w:autoSpaceDE/>
        <w:autoSpaceDN/>
        <w:bidi w:val="0"/>
        <w:adjustRightInd/>
        <w:spacing w:before="0" w:beforeAutospacing="0" w:after="0" w:afterAutospacing="0" w:line="440" w:lineRule="exact"/>
        <w:ind w:firstLine="422" w:firstLineChars="200"/>
        <w:jc w:val="both"/>
        <w:textAlignment w:val="auto"/>
        <w:rPr>
          <w:color w:val="auto"/>
          <w:kern w:val="2"/>
          <w:sz w:val="21"/>
          <w:szCs w:val="21"/>
          <w:highlight w:val="none"/>
        </w:rPr>
      </w:pPr>
      <w:bookmarkStart w:id="614" w:name="_Toc532377168"/>
      <w:bookmarkStart w:id="615" w:name="_Toc351203483"/>
      <w:bookmarkStart w:id="616" w:name="_Toc532375575"/>
      <w:r>
        <w:rPr>
          <w:rFonts w:hint="eastAsia"/>
          <w:color w:val="auto"/>
          <w:kern w:val="2"/>
          <w:sz w:val="21"/>
          <w:szCs w:val="21"/>
          <w:highlight w:val="none"/>
        </w:rPr>
        <w:t>三、质量标准</w:t>
      </w:r>
      <w:bookmarkEnd w:id="614"/>
      <w:bookmarkEnd w:id="615"/>
      <w:bookmarkEnd w:id="616"/>
    </w:p>
    <w:p>
      <w:pPr>
        <w:pageBreakBefore w:val="0"/>
        <w:kinsoku/>
        <w:wordWrap/>
        <w:overflowPunct/>
        <w:topLinePunct w:val="0"/>
        <w:autoSpaceDE/>
        <w:autoSpaceDN/>
        <w:bidi w:val="0"/>
        <w:adjustRightInd/>
        <w:snapToGrid w:val="0"/>
        <w:spacing w:beforeAutospacing="0" w:afterAutospacing="0"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符合国家和重庆市现行有关施工质量验收规范和标准要求，并达到合格</w:t>
      </w:r>
      <w:r>
        <w:rPr>
          <w:rFonts w:hint="eastAsia" w:ascii="宋体" w:hAnsi="宋体"/>
          <w:color w:val="auto"/>
          <w:szCs w:val="21"/>
          <w:highlight w:val="none"/>
        </w:rPr>
        <w:t>标准。</w:t>
      </w:r>
    </w:p>
    <w:p>
      <w:pPr>
        <w:pStyle w:val="6"/>
        <w:keepNext/>
        <w:keepLines/>
        <w:pageBreakBefore w:val="0"/>
        <w:kinsoku/>
        <w:wordWrap/>
        <w:overflowPunct/>
        <w:topLinePunct w:val="0"/>
        <w:autoSpaceDE/>
        <w:autoSpaceDN/>
        <w:bidi w:val="0"/>
        <w:adjustRightInd/>
        <w:spacing w:before="0" w:beforeAutospacing="0" w:after="0" w:afterAutospacing="0" w:line="440" w:lineRule="exact"/>
        <w:ind w:firstLine="422" w:firstLineChars="200"/>
        <w:jc w:val="both"/>
        <w:textAlignment w:val="auto"/>
        <w:rPr>
          <w:color w:val="auto"/>
          <w:kern w:val="2"/>
          <w:sz w:val="21"/>
          <w:szCs w:val="21"/>
          <w:highlight w:val="none"/>
        </w:rPr>
      </w:pPr>
      <w:bookmarkStart w:id="617" w:name="_Toc532375576"/>
      <w:bookmarkStart w:id="618" w:name="_Toc532377169"/>
      <w:bookmarkStart w:id="619" w:name="_Toc351203484"/>
      <w:r>
        <w:rPr>
          <w:rFonts w:hint="eastAsia"/>
          <w:color w:val="auto"/>
          <w:kern w:val="2"/>
          <w:sz w:val="21"/>
          <w:szCs w:val="21"/>
          <w:highlight w:val="none"/>
        </w:rPr>
        <w:t>四、签约合同价与合同价格形式</w:t>
      </w:r>
      <w:bookmarkEnd w:id="617"/>
      <w:bookmarkEnd w:id="618"/>
      <w:bookmarkEnd w:id="619"/>
      <w:r>
        <w:rPr>
          <w:rFonts w:hint="eastAsia"/>
          <w:color w:val="auto"/>
          <w:kern w:val="2"/>
          <w:sz w:val="21"/>
          <w:szCs w:val="21"/>
          <w:highlight w:val="none"/>
        </w:rPr>
        <w:tab/>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1.承包人比选申请函中承诺的中标价为：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hint="eastAsia" w:ascii="宋体" w:hAnsi="宋体"/>
          <w:color w:val="auto"/>
          <w:szCs w:val="21"/>
          <w:highlight w:val="none"/>
          <w:u w:val="single"/>
        </w:rPr>
        <w:t xml:space="preserve">    </w:t>
      </w:r>
      <w:r>
        <w:rPr>
          <w:rFonts w:hint="eastAsia" w:ascii="宋体" w:hAnsi="宋体"/>
          <w:color w:val="auto"/>
          <w:szCs w:val="21"/>
          <w:highlight w:val="none"/>
        </w:rPr>
        <w:t>，农民工工资单独支付至承包人设立的农民工工资专用账户。</w:t>
      </w:r>
    </w:p>
    <w:p>
      <w:pPr>
        <w:pageBreakBefore w:val="0"/>
        <w:kinsoku/>
        <w:wordWrap/>
        <w:overflowPunct/>
        <w:topLinePunct w:val="0"/>
        <w:autoSpaceDE/>
        <w:autoSpaceDN/>
        <w:bidi w:val="0"/>
        <w:adjustRightInd/>
        <w:snapToGrid/>
        <w:spacing w:beforeAutospacing="0" w:afterAutospacing="0"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pageBreakBefore w:val="0"/>
        <w:kinsoku/>
        <w:wordWrap/>
        <w:overflowPunct/>
        <w:topLinePunct w:val="0"/>
        <w:autoSpaceDE/>
        <w:autoSpaceDN/>
        <w:bidi w:val="0"/>
        <w:adjustRightInd/>
        <w:snapToGrid/>
        <w:spacing w:before="0" w:beforeAutospacing="0" w:after="0" w:afterAutospacing="0" w:line="440" w:lineRule="exact"/>
        <w:ind w:firstLine="422" w:firstLineChars="200"/>
        <w:jc w:val="both"/>
        <w:textAlignment w:val="auto"/>
        <w:rPr>
          <w:color w:val="auto"/>
          <w:kern w:val="2"/>
          <w:sz w:val="21"/>
          <w:szCs w:val="21"/>
          <w:highlight w:val="none"/>
        </w:rPr>
      </w:pPr>
      <w:bookmarkStart w:id="620" w:name="_Toc351203485"/>
      <w:bookmarkStart w:id="621" w:name="_Toc532377170"/>
      <w:bookmarkStart w:id="622" w:name="_Toc532375577"/>
      <w:r>
        <w:rPr>
          <w:rFonts w:hint="eastAsia"/>
          <w:color w:val="auto"/>
          <w:kern w:val="2"/>
          <w:sz w:val="21"/>
          <w:szCs w:val="21"/>
          <w:highlight w:val="none"/>
        </w:rPr>
        <w:t>五、</w:t>
      </w:r>
      <w:bookmarkEnd w:id="620"/>
      <w:r>
        <w:rPr>
          <w:rFonts w:hint="eastAsia"/>
          <w:color w:val="auto"/>
          <w:kern w:val="2"/>
          <w:sz w:val="21"/>
          <w:szCs w:val="21"/>
          <w:highlight w:val="none"/>
        </w:rPr>
        <w:t>项目经理及技术负责人</w:t>
      </w:r>
      <w:bookmarkEnd w:id="621"/>
      <w:bookmarkEnd w:id="622"/>
    </w:p>
    <w:p>
      <w:pPr>
        <w:pageBreakBefore w:val="0"/>
        <w:kinsoku/>
        <w:wordWrap/>
        <w:overflowPunct/>
        <w:topLinePunct w:val="0"/>
        <w:autoSpaceDE/>
        <w:autoSpaceDN/>
        <w:bidi w:val="0"/>
        <w:adjustRightInd/>
        <w:snapToGrid/>
        <w:spacing w:beforeAutospacing="0" w:afterAutospacing="0"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承包人比选申请文件中承诺的项目经理：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承包人比选申请文件中承诺的技术负责人：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2"/>
        <w:pageBreakBefore w:val="0"/>
        <w:kinsoku/>
        <w:wordWrap/>
        <w:overflowPunct/>
        <w:topLinePunct w:val="0"/>
        <w:autoSpaceDE/>
        <w:autoSpaceDN/>
        <w:bidi w:val="0"/>
        <w:adjustRightInd/>
        <w:snapToGrid/>
        <w:spacing w:beforeAutospacing="0" w:after="0" w:afterAutospacing="0" w:line="440" w:lineRule="exact"/>
        <w:textAlignment w:val="auto"/>
        <w:rPr>
          <w:rFonts w:ascii="宋体" w:hAnsi="宋体"/>
          <w:color w:val="auto"/>
          <w:szCs w:val="21"/>
          <w:highlight w:val="none"/>
        </w:rPr>
      </w:pPr>
      <w:r>
        <w:rPr>
          <w:rFonts w:hint="eastAsia" w:ascii="宋体" w:hAnsi="宋体"/>
          <w:color w:val="auto"/>
          <w:szCs w:val="21"/>
          <w:highlight w:val="none"/>
        </w:rPr>
        <w:t xml:space="preserve">    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pageBreakBefore w:val="0"/>
        <w:kinsoku/>
        <w:wordWrap/>
        <w:overflowPunct/>
        <w:topLinePunct w:val="0"/>
        <w:autoSpaceDE/>
        <w:autoSpaceDN/>
        <w:bidi w:val="0"/>
        <w:adjustRightInd/>
        <w:snapToGrid/>
        <w:spacing w:before="0" w:beforeAutospacing="0" w:after="0" w:afterAutospacing="0" w:line="440" w:lineRule="exact"/>
        <w:ind w:firstLine="422" w:firstLineChars="200"/>
        <w:jc w:val="both"/>
        <w:textAlignment w:val="auto"/>
        <w:rPr>
          <w:color w:val="auto"/>
          <w:kern w:val="2"/>
          <w:sz w:val="21"/>
          <w:szCs w:val="21"/>
          <w:highlight w:val="none"/>
        </w:rPr>
      </w:pPr>
      <w:bookmarkStart w:id="623" w:name="_Toc532375578"/>
      <w:bookmarkStart w:id="624" w:name="_Toc532377171"/>
      <w:bookmarkStart w:id="625" w:name="_Toc351203486"/>
      <w:r>
        <w:rPr>
          <w:rFonts w:hint="eastAsia"/>
          <w:color w:val="auto"/>
          <w:kern w:val="2"/>
          <w:sz w:val="21"/>
          <w:szCs w:val="21"/>
          <w:highlight w:val="none"/>
        </w:rPr>
        <w:t>六、合同文件构成</w:t>
      </w:r>
      <w:bookmarkEnd w:id="623"/>
      <w:bookmarkEnd w:id="624"/>
      <w:bookmarkEnd w:id="625"/>
    </w:p>
    <w:p>
      <w:pPr>
        <w:pageBreakBefore w:val="0"/>
        <w:kinsoku/>
        <w:wordWrap/>
        <w:overflowPunct/>
        <w:topLinePunct w:val="0"/>
        <w:autoSpaceDE/>
        <w:autoSpaceDN/>
        <w:bidi w:val="0"/>
        <w:adjustRightInd/>
        <w:snapToGrid/>
        <w:spacing w:beforeAutospacing="0" w:afterAutospacing="0" w:line="44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合同由以下文件构成：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（3）比选申请函及比选申请函附录；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（6）比选申请文件（比选申请函及比选申请函附录除外）；</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（7）竞争性比选文件及修改文件；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pPr>
        <w:pageBreakBefore w:val="0"/>
        <w:kinsoku/>
        <w:wordWrap/>
        <w:overflowPunct/>
        <w:topLinePunct w:val="0"/>
        <w:autoSpaceDE/>
        <w:autoSpaceDN/>
        <w:bidi w:val="0"/>
        <w:adjustRightInd/>
        <w:snapToGrid/>
        <w:spacing w:beforeAutospacing="0" w:afterAutospacing="0"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pPr>
        <w:pStyle w:val="6"/>
        <w:keepNext/>
        <w:keepLines/>
        <w:pageBreakBefore w:val="0"/>
        <w:kinsoku/>
        <w:wordWrap/>
        <w:overflowPunct/>
        <w:topLinePunct w:val="0"/>
        <w:autoSpaceDE/>
        <w:autoSpaceDN/>
        <w:bidi w:val="0"/>
        <w:adjustRightInd/>
        <w:snapToGrid/>
        <w:spacing w:before="0" w:beforeAutospacing="0" w:after="0" w:afterAutospacing="0" w:line="440" w:lineRule="exact"/>
        <w:ind w:firstLine="422" w:firstLineChars="200"/>
        <w:jc w:val="both"/>
        <w:textAlignment w:val="auto"/>
        <w:rPr>
          <w:color w:val="auto"/>
          <w:kern w:val="2"/>
          <w:sz w:val="21"/>
          <w:szCs w:val="21"/>
          <w:highlight w:val="none"/>
        </w:rPr>
      </w:pPr>
      <w:bookmarkStart w:id="626" w:name="_Toc351203487"/>
      <w:bookmarkStart w:id="627" w:name="_Toc532377172"/>
      <w:bookmarkStart w:id="628" w:name="_Toc532375579"/>
      <w:r>
        <w:rPr>
          <w:rFonts w:hint="eastAsia"/>
          <w:color w:val="auto"/>
          <w:kern w:val="2"/>
          <w:sz w:val="21"/>
          <w:szCs w:val="21"/>
          <w:highlight w:val="none"/>
        </w:rPr>
        <w:t>七、承诺</w:t>
      </w:r>
      <w:bookmarkEnd w:id="626"/>
      <w:bookmarkEnd w:id="627"/>
      <w:bookmarkEnd w:id="628"/>
    </w:p>
    <w:p>
      <w:pPr>
        <w:pageBreakBefore w:val="0"/>
        <w:kinsoku/>
        <w:wordWrap/>
        <w:overflowPunct/>
        <w:topLinePunct w:val="0"/>
        <w:autoSpaceDE/>
        <w:autoSpaceDN/>
        <w:bidi w:val="0"/>
        <w:adjustRightInd/>
        <w:snapToGrid/>
        <w:spacing w:beforeAutospacing="0" w:afterAutospacing="0" w:line="44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pPr>
        <w:spacing w:line="360" w:lineRule="auto"/>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2.</w:t>
      </w:r>
      <w:r>
        <w:rPr>
          <w:rFonts w:hint="eastAsia" w:ascii="宋体" w:hAnsi="宋体"/>
          <w:b/>
          <w:bCs/>
          <w:color w:val="auto"/>
          <w:sz w:val="32"/>
          <w:szCs w:val="32"/>
          <w:highlight w:val="none"/>
        </w:rPr>
        <w:t>承包人在资格审查资料中承 诺</w:t>
      </w:r>
      <w:r>
        <w:rPr>
          <w:rFonts w:hint="eastAsia" w:ascii="宋体" w:hAnsi="宋体"/>
          <w:color w:val="auto"/>
          <w:szCs w:val="21"/>
          <w:highlight w:val="none"/>
        </w:rPr>
        <w:t>如中标按照法律规定及合同约定组织完成工程施工，确保工程质量和安全，不进行转包及违法分包，并在缺陷责任期及保修期内承担相应的工程维修责任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否 则，视为不响 应比选文件要求。</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color w:val="auto"/>
          <w:kern w:val="2"/>
          <w:sz w:val="21"/>
          <w:szCs w:val="21"/>
          <w:highlight w:val="none"/>
        </w:rPr>
      </w:pPr>
      <w:bookmarkStart w:id="629" w:name="_Toc532377173"/>
      <w:bookmarkStart w:id="630" w:name="_Toc532375580"/>
      <w:bookmarkStart w:id="631" w:name="_Toc351203488"/>
      <w:r>
        <w:rPr>
          <w:rFonts w:hint="eastAsia"/>
          <w:color w:val="auto"/>
          <w:kern w:val="2"/>
          <w:sz w:val="21"/>
          <w:szCs w:val="21"/>
          <w:highlight w:val="none"/>
        </w:rPr>
        <w:t>八、词语含义</w:t>
      </w:r>
      <w:bookmarkEnd w:id="629"/>
      <w:bookmarkEnd w:id="630"/>
      <w:bookmarkEnd w:id="631"/>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pPr>
        <w:pStyle w:val="6"/>
        <w:keepNext/>
        <w:keepLines/>
        <w:spacing w:before="120" w:after="120" w:line="360" w:lineRule="auto"/>
        <w:ind w:firstLine="422" w:firstLineChars="200"/>
        <w:jc w:val="both"/>
        <w:rPr>
          <w:color w:val="auto"/>
          <w:kern w:val="2"/>
          <w:sz w:val="21"/>
          <w:szCs w:val="21"/>
          <w:highlight w:val="none"/>
        </w:rPr>
      </w:pPr>
      <w:bookmarkStart w:id="632" w:name="_Toc532377174"/>
      <w:bookmarkStart w:id="633" w:name="_Toc532375581"/>
      <w:r>
        <w:rPr>
          <w:rFonts w:hint="eastAsia"/>
          <w:color w:val="auto"/>
          <w:kern w:val="2"/>
          <w:sz w:val="21"/>
          <w:szCs w:val="21"/>
          <w:highlight w:val="none"/>
        </w:rPr>
        <w:t>九、签订时间</w:t>
      </w:r>
      <w:bookmarkEnd w:id="632"/>
      <w:bookmarkEnd w:id="633"/>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pPr>
        <w:pStyle w:val="6"/>
        <w:keepNext/>
        <w:keepLines/>
        <w:spacing w:before="120" w:after="120" w:line="360" w:lineRule="auto"/>
        <w:ind w:firstLine="422" w:firstLineChars="200"/>
        <w:jc w:val="both"/>
        <w:rPr>
          <w:color w:val="auto"/>
          <w:kern w:val="2"/>
          <w:sz w:val="21"/>
          <w:szCs w:val="21"/>
          <w:highlight w:val="none"/>
        </w:rPr>
      </w:pPr>
      <w:bookmarkStart w:id="634" w:name="_Toc351203489"/>
      <w:bookmarkStart w:id="635" w:name="_Toc532375582"/>
      <w:bookmarkStart w:id="636" w:name="_Toc532377175"/>
      <w:r>
        <w:rPr>
          <w:rFonts w:hint="eastAsia"/>
          <w:color w:val="auto"/>
          <w:kern w:val="2"/>
          <w:sz w:val="21"/>
          <w:szCs w:val="21"/>
          <w:highlight w:val="none"/>
        </w:rPr>
        <w:t>十、</w:t>
      </w:r>
      <w:bookmarkEnd w:id="634"/>
      <w:bookmarkStart w:id="637" w:name="_Toc351203490"/>
      <w:r>
        <w:rPr>
          <w:rFonts w:hint="eastAsia"/>
          <w:color w:val="auto"/>
          <w:kern w:val="2"/>
          <w:sz w:val="21"/>
          <w:szCs w:val="21"/>
          <w:highlight w:val="none"/>
        </w:rPr>
        <w:t>签订地点</w:t>
      </w:r>
      <w:bookmarkEnd w:id="635"/>
      <w:bookmarkEnd w:id="636"/>
      <w:bookmarkEnd w:id="637"/>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pPr>
        <w:pStyle w:val="6"/>
        <w:keepNext/>
        <w:keepLines/>
        <w:spacing w:before="120" w:after="120" w:line="360" w:lineRule="auto"/>
        <w:ind w:firstLine="422" w:firstLineChars="200"/>
        <w:jc w:val="both"/>
        <w:rPr>
          <w:color w:val="auto"/>
          <w:kern w:val="2"/>
          <w:sz w:val="21"/>
          <w:szCs w:val="21"/>
          <w:highlight w:val="none"/>
        </w:rPr>
      </w:pPr>
      <w:bookmarkStart w:id="638" w:name="_Toc532377176"/>
      <w:bookmarkStart w:id="639" w:name="_Toc351203491"/>
      <w:bookmarkStart w:id="640" w:name="_Toc532375583"/>
      <w:r>
        <w:rPr>
          <w:rFonts w:hint="eastAsia"/>
          <w:color w:val="auto"/>
          <w:kern w:val="2"/>
          <w:sz w:val="21"/>
          <w:szCs w:val="21"/>
          <w:highlight w:val="none"/>
        </w:rPr>
        <w:t>十一、补充协议</w:t>
      </w:r>
      <w:bookmarkEnd w:id="638"/>
      <w:bookmarkEnd w:id="639"/>
      <w:bookmarkEnd w:id="640"/>
    </w:p>
    <w:p>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pPr>
        <w:pStyle w:val="6"/>
        <w:keepNext/>
        <w:keepLines/>
        <w:spacing w:before="120" w:after="120" w:line="360" w:lineRule="auto"/>
        <w:ind w:firstLine="422" w:firstLineChars="200"/>
        <w:jc w:val="both"/>
        <w:rPr>
          <w:color w:val="auto"/>
          <w:kern w:val="2"/>
          <w:sz w:val="21"/>
          <w:szCs w:val="21"/>
          <w:highlight w:val="none"/>
        </w:rPr>
      </w:pPr>
      <w:bookmarkStart w:id="641" w:name="_Toc532375584"/>
      <w:bookmarkStart w:id="642" w:name="_Toc532377177"/>
      <w:bookmarkStart w:id="643" w:name="_Toc351203492"/>
      <w:r>
        <w:rPr>
          <w:rFonts w:hint="eastAsia"/>
          <w:color w:val="auto"/>
          <w:kern w:val="2"/>
          <w:sz w:val="21"/>
          <w:szCs w:val="21"/>
          <w:highlight w:val="none"/>
        </w:rPr>
        <w:t>十二、合同生效</w:t>
      </w:r>
      <w:bookmarkEnd w:id="641"/>
      <w:bookmarkEnd w:id="642"/>
      <w:bookmarkEnd w:id="643"/>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经双方法定代表人或其委托代理人签名并加盖单位</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644" w:name="_Toc532377178"/>
      <w:bookmarkStart w:id="645" w:name="_Toc351203493"/>
      <w:bookmarkStart w:id="646" w:name="_Toc532375585"/>
      <w:r>
        <w:rPr>
          <w:rFonts w:hint="eastAsia"/>
          <w:color w:val="auto"/>
          <w:kern w:val="2"/>
          <w:sz w:val="21"/>
          <w:szCs w:val="21"/>
          <w:highlight w:val="none"/>
        </w:rPr>
        <w:t>十三、合同份数</w:t>
      </w:r>
      <w:bookmarkEnd w:id="644"/>
      <w:bookmarkEnd w:id="645"/>
      <w:bookmarkEnd w:id="646"/>
    </w:p>
    <w:p>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adjustRightInd w:val="0"/>
        <w:spacing w:line="360" w:lineRule="auto"/>
        <w:ind w:firstLine="420" w:firstLineChars="200"/>
        <w:rPr>
          <w:rFonts w:ascii="宋体" w:hAnsi="宋体"/>
          <w:snapToGrid w:val="0"/>
          <w:color w:val="auto"/>
          <w:kern w:val="0"/>
          <w:szCs w:val="21"/>
          <w:highlight w:val="none"/>
        </w:rPr>
      </w:pPr>
      <w:bookmarkStart w:id="647"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rPr>
          <w:rFonts w:ascii="宋体" w:hAnsi="宋体"/>
          <w:snapToGrid w:val="0"/>
          <w:color w:val="auto"/>
          <w:kern w:val="0"/>
          <w:szCs w:val="21"/>
          <w:highlight w:val="none"/>
        </w:rPr>
      </w:pPr>
    </w:p>
    <w:p>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Style w:val="2"/>
        <w:spacing w:line="360" w:lineRule="auto"/>
        <w:rPr>
          <w:rFonts w:ascii="宋体" w:hAnsi="宋体"/>
          <w:color w:val="auto"/>
          <w:szCs w:val="21"/>
          <w:highlight w:val="none"/>
        </w:rPr>
      </w:pPr>
    </w:p>
    <w:p>
      <w:pPr>
        <w:spacing w:line="360" w:lineRule="auto"/>
        <w:jc w:val="right"/>
        <w:rPr>
          <w:rFonts w:ascii="宋体" w:hAnsi="宋体"/>
          <w:snapToGrid w:val="0"/>
          <w:color w:val="auto"/>
          <w:kern w:val="0"/>
          <w:szCs w:val="21"/>
          <w:highlight w:val="none"/>
        </w:rPr>
      </w:pPr>
    </w:p>
    <w:p>
      <w:pPr>
        <w:spacing w:line="360" w:lineRule="auto"/>
        <w:jc w:val="right"/>
        <w:rPr>
          <w:rFonts w:ascii="宋体" w:hAnsi="宋体"/>
          <w:snapToGrid w:val="0"/>
          <w:color w:val="auto"/>
          <w:kern w:val="0"/>
          <w:szCs w:val="21"/>
          <w:highlight w:val="none"/>
        </w:rPr>
      </w:pPr>
    </w:p>
    <w:p>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647"/>
    </w:p>
    <w:p>
      <w:pPr>
        <w:pStyle w:val="5"/>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648" w:name="_Toc529388289"/>
      <w:bookmarkStart w:id="649" w:name="_Toc532375586"/>
      <w:bookmarkStart w:id="650" w:name="_Toc19856"/>
      <w:bookmarkStart w:id="651" w:name="_Toc532377179"/>
      <w:bookmarkStart w:id="652" w:name="_Toc19153"/>
      <w:r>
        <w:rPr>
          <w:rFonts w:hint="eastAsia" w:ascii="宋体" w:hAnsi="宋体"/>
          <w:color w:val="auto"/>
          <w:sz w:val="44"/>
          <w:szCs w:val="44"/>
          <w:highlight w:val="none"/>
        </w:rPr>
        <w:t>第二部分 通用合同条款</w:t>
      </w:r>
      <w:bookmarkEnd w:id="648"/>
      <w:bookmarkEnd w:id="649"/>
      <w:bookmarkEnd w:id="650"/>
      <w:bookmarkEnd w:id="651"/>
      <w:bookmarkEnd w:id="652"/>
    </w:p>
    <w:p>
      <w:pPr>
        <w:pStyle w:val="6"/>
        <w:keepNext/>
        <w:keepLines/>
        <w:spacing w:before="156" w:beforeLines="50" w:beforeAutospacing="0" w:after="156" w:afterLines="50" w:afterAutospacing="0" w:line="360" w:lineRule="auto"/>
        <w:jc w:val="both"/>
        <w:rPr>
          <w:color w:val="auto"/>
          <w:kern w:val="2"/>
          <w:sz w:val="21"/>
          <w:szCs w:val="21"/>
          <w:highlight w:val="none"/>
        </w:rPr>
      </w:pPr>
      <w:bookmarkStart w:id="653" w:name="_Toc532377180"/>
      <w:bookmarkStart w:id="654" w:name="_Toc532375587"/>
      <w:bookmarkStart w:id="655" w:name="_Toc351203495"/>
      <w:r>
        <w:rPr>
          <w:rFonts w:hint="eastAsia"/>
          <w:color w:val="auto"/>
          <w:kern w:val="2"/>
          <w:sz w:val="21"/>
          <w:szCs w:val="21"/>
          <w:highlight w:val="none"/>
        </w:rPr>
        <w:t>1.</w:t>
      </w:r>
      <w:bookmarkStart w:id="656" w:name="_Toc303538973"/>
      <w:bookmarkEnd w:id="656"/>
      <w:bookmarkStart w:id="657" w:name="_Toc303538972"/>
      <w:bookmarkEnd w:id="657"/>
      <w:bookmarkStart w:id="658" w:name="_Toc303538974"/>
      <w:bookmarkEnd w:id="658"/>
      <w:bookmarkStart w:id="659" w:name="_Toc303538975"/>
      <w:bookmarkEnd w:id="659"/>
      <w:bookmarkStart w:id="660" w:name="_Toc303538976"/>
      <w:bookmarkEnd w:id="660"/>
      <w:bookmarkStart w:id="661" w:name="_Toc296503027"/>
      <w:bookmarkStart w:id="662" w:name="_Toc296346528"/>
      <w:r>
        <w:rPr>
          <w:rFonts w:hint="eastAsia"/>
          <w:color w:val="auto"/>
          <w:kern w:val="2"/>
          <w:sz w:val="21"/>
          <w:szCs w:val="21"/>
          <w:highlight w:val="none"/>
        </w:rPr>
        <w:t>一般约定</w:t>
      </w:r>
      <w:bookmarkEnd w:id="653"/>
      <w:bookmarkEnd w:id="654"/>
      <w:bookmarkEnd w:id="655"/>
      <w:bookmarkEnd w:id="661"/>
      <w:bookmarkEnd w:id="662"/>
    </w:p>
    <w:p>
      <w:pPr>
        <w:pStyle w:val="7"/>
        <w:spacing w:before="0" w:beforeAutospacing="0" w:after="0" w:afterAutospacing="0" w:line="360" w:lineRule="auto"/>
        <w:ind w:firstLine="422" w:firstLineChars="200"/>
        <w:rPr>
          <w:color w:val="auto"/>
          <w:sz w:val="21"/>
          <w:szCs w:val="21"/>
          <w:highlight w:val="none"/>
        </w:rPr>
      </w:pPr>
      <w:bookmarkStart w:id="663" w:name="_Toc296503028"/>
      <w:bookmarkStart w:id="664" w:name="_Toc296346529"/>
      <w:bookmarkStart w:id="665" w:name="_Toc337558728"/>
      <w:bookmarkStart w:id="666" w:name="_Toc532377181"/>
      <w:bookmarkStart w:id="667" w:name="_Toc351203496"/>
      <w:r>
        <w:rPr>
          <w:rFonts w:hint="eastAsia"/>
          <w:color w:val="auto"/>
          <w:sz w:val="21"/>
          <w:szCs w:val="21"/>
          <w:highlight w:val="none"/>
        </w:rPr>
        <w:t>1.1词语定义</w:t>
      </w:r>
      <w:bookmarkEnd w:id="663"/>
      <w:bookmarkEnd w:id="664"/>
      <w:bookmarkEnd w:id="665"/>
      <w:r>
        <w:rPr>
          <w:rFonts w:hint="eastAsia"/>
          <w:color w:val="auto"/>
          <w:sz w:val="21"/>
          <w:szCs w:val="21"/>
          <w:highlight w:val="none"/>
        </w:rPr>
        <w:t>与解释</w:t>
      </w:r>
      <w:bookmarkEnd w:id="666"/>
      <w:bookmarkEnd w:id="667"/>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合同协议书、通用合同条款、专用合同条款中的下列词语具有本款所赋予的含义：</w:t>
      </w:r>
    </w:p>
    <w:p>
      <w:pPr>
        <w:pStyle w:val="7"/>
        <w:spacing w:before="0" w:beforeAutospacing="0" w:after="0" w:afterAutospacing="0" w:line="360" w:lineRule="auto"/>
        <w:ind w:firstLine="420" w:firstLineChars="200"/>
        <w:rPr>
          <w:b w:val="0"/>
          <w:bCs w:val="0"/>
          <w:color w:val="auto"/>
          <w:sz w:val="21"/>
          <w:szCs w:val="21"/>
          <w:highlight w:val="none"/>
        </w:rPr>
      </w:pPr>
      <w:bookmarkStart w:id="668" w:name="_Toc532377182"/>
      <w:r>
        <w:rPr>
          <w:rFonts w:hint="eastAsia"/>
          <w:b w:val="0"/>
          <w:bCs w:val="0"/>
          <w:color w:val="auto"/>
          <w:sz w:val="21"/>
          <w:szCs w:val="21"/>
          <w:highlight w:val="none"/>
        </w:rPr>
        <w:t>1.1.1 合同</w:t>
      </w:r>
      <w:bookmarkEnd w:id="668"/>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合同：是指根据法律规定和合同当事人约定具有约束力的文件，构成合同的文件包括合同协议书、中标通知书（如有）、比选申请函及其附录（如有）、专用合同条款</w:t>
      </w:r>
      <w:r>
        <w:rPr>
          <w:rFonts w:hint="eastAsia" w:ascii="宋体" w:hAnsi="宋体"/>
          <w:color w:val="auto"/>
          <w:szCs w:val="21"/>
          <w:highlight w:val="none"/>
        </w:rPr>
        <w:t>及其附件</w:t>
      </w:r>
      <w:r>
        <w:rPr>
          <w:rFonts w:hint="eastAsia" w:ascii="宋体" w:hAnsi="宋体"/>
          <w:color w:val="auto"/>
          <w:kern w:val="0"/>
          <w:szCs w:val="21"/>
          <w:highlight w:val="none"/>
        </w:rPr>
        <w:t>、通用合同条款、技术标准和要求、图纸、已标价工程量清单或预算书以及其他合同文件。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合同协议书：是指构成合同的由发包人和承包人共同签署的称为“合同协议书”的书面文件。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中标通知书：是指构成合同的由发包人通知承包人中标的书面文件。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比选申请函：是指构成合同的由承包人填写并签署的用于投标的称为“比选申请函”的文件。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1.1.1.5 比选申请函附录：是指构成合同的附在比选申请函后的称为“比选申请函附录”的文件。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已标价工程量清单：是指构成合同的由承包人按照规定的格式和要求填写并标明价格的工程量清单，包括说明和表格。</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1.1.1.9 预算书：是指构成合同的由承包人按照发包人规定的格式和要求编制的工程预算文件。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 合同当事人及其他相关方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1.1.2.1 合同当事人：是指发包人和（或）承包人。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1.1.2.2 发包人：是指与承包人签订合同协议书的当事人及取得该当事人资格的合法继承人。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1.1.2.3 承包人：是指与发包人签订合同协议书的，具有相应工程施工承包资质的当事人及取得该当事人资格的合法继承人。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1.1.2.4 监理人：是指在专用合同条款中指明的，受发包人委托按照法律规定进行工程监督管理的法人或其他组织。</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1.1.2.5 设计人：是指在专用合同条款中指明的，受发包人委托负责工程设计并具备相应工程设计资质的法人或其他组织。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1.1.2.6 分包人：</w:t>
      </w:r>
      <w:bookmarkStart w:id="669" w:name="#go5"/>
      <w:bookmarkEnd w:id="669"/>
      <w:r>
        <w:rPr>
          <w:rFonts w:hint="eastAsia" w:ascii="宋体" w:hAnsi="宋体"/>
          <w:color w:val="auto"/>
          <w:kern w:val="0"/>
          <w:szCs w:val="21"/>
          <w:highlight w:val="none"/>
        </w:rPr>
        <w:t>是指按照法律规定和合同约定，分包部分工程或工作，并与承包人签订分包合同的具有相应资质的法人。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1.1.2.7 发包人代表：是指由发包人任命并派驻施工现场在发包人授权范围内行使发包人权利的人。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1.1.2.9 总监理工程师：是指由监理人任命并派驻施工现场进行工程监理的总负责人。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 工程和设备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 工程：是指与合同协议书中工程承包范围对应的永久工程和（或）临时工程。</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1.1.3.2 永久工程：是指按合同约定建造并移交给发包人的工程，包括工程设备。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1.1.3.3 临时工程：是指为完成合同约定的永久工程所修建的各类临时性工程，不包括施工设备。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1.1.3.4 单位工程：是指在合同协议书中指明的，具备独立施工条件并能形成独立使用功能的永久工程。</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1.1.3.5 工程设备：是指构成永久工程的机电设备、金属结构设备、仪器及其他类似的设备和装置。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1.1.3.6 施工设备：是指为完成合同约定的各项工作所需的设备、器具和其他物品，但不包括工程设备、临时工程和材料。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1.1.3.8临时设施：是指为完成合同约定的各项工作所服务的临时性生产和生活设施。</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1.1.3.9 永久占地：是指专用合同条款中指明为实施工程需永久占用的土地。</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1.1.3.10 临时占地：是指专用合同条款中指明为实施工程需要临时占用的土地。</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 日期和期限</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1.1.4.3 工期：是指在合同协议书约定的承包人完成工程所需的期限，包括按照合同约定所作的期限变更。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1.1.4.5 保修期：是指承包人按照合同约定对工程承担保修责任的期限，从工程竣工验收合格之日起计算。</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1.1.4.6 基准日期：比选发包的工程以投标截止日前28天的日期为基准日期，直接发包的工程以合同签订日前28天的日期为基准日期。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 合同价格和费用</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1.1.5.1 签约合同价：是指</w:t>
      </w:r>
      <w:r>
        <w:rPr>
          <w:rFonts w:hint="eastAsia" w:ascii="宋体" w:hAnsi="宋体"/>
          <w:color w:val="auto"/>
          <w:szCs w:val="21"/>
          <w:highlight w:val="none"/>
        </w:rPr>
        <w:t>发包人和承包人在合同协议书中确定的总金额，包括安全文明施工费、暂估价及暂列金额等。</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1.1.5.3 费用：是指为履行合同所发生的或将要发生的所有必需的开支，包括管理费和应分摊的其他费用，但不包括利润。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1.1.5.7 质量保证金</w:t>
      </w:r>
      <w:bookmarkStart w:id="670" w:name="#go2"/>
      <w:bookmarkEnd w:id="670"/>
      <w:r>
        <w:rPr>
          <w:rFonts w:hint="eastAsia" w:ascii="宋体" w:hAnsi="宋体"/>
          <w:color w:val="auto"/>
          <w:kern w:val="0"/>
          <w:szCs w:val="21"/>
          <w:highlight w:val="none"/>
        </w:rPr>
        <w:t>：是指按照第15.3款〔质量保证金〕约定承包人用于保证其在缺陷责任期内履行缺陷修补义务的担保</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1.1.6.1 书面形式：是指合同文件、信函、电报、传真等可以有形地表现所载内容的形式。</w:t>
      </w:r>
    </w:p>
    <w:p>
      <w:pPr>
        <w:pStyle w:val="7"/>
        <w:spacing w:before="0" w:beforeAutospacing="0" w:after="0" w:afterAutospacing="0" w:line="360" w:lineRule="auto"/>
        <w:ind w:firstLine="422" w:firstLineChars="200"/>
        <w:rPr>
          <w:color w:val="auto"/>
          <w:sz w:val="21"/>
          <w:szCs w:val="21"/>
          <w:highlight w:val="none"/>
        </w:rPr>
      </w:pPr>
      <w:bookmarkStart w:id="671" w:name="_Toc532377183"/>
      <w:r>
        <w:rPr>
          <w:rFonts w:hint="eastAsia"/>
          <w:color w:val="auto"/>
          <w:sz w:val="21"/>
          <w:szCs w:val="21"/>
          <w:highlight w:val="none"/>
        </w:rPr>
        <w:t>1.2 语言文字</w:t>
      </w:r>
      <w:bookmarkEnd w:id="671"/>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合同以中国的汉语简体文字编写、解释和说明。合同当事人在专用合同条款中约定使用两种以上语言时，汉语为优先解释和说明合同的语言。</w:t>
      </w:r>
    </w:p>
    <w:p>
      <w:pPr>
        <w:pStyle w:val="7"/>
        <w:spacing w:before="0" w:beforeAutospacing="0" w:after="0" w:afterAutospacing="0" w:line="360" w:lineRule="auto"/>
        <w:ind w:firstLine="422" w:firstLineChars="200"/>
        <w:rPr>
          <w:color w:val="auto"/>
          <w:sz w:val="21"/>
          <w:szCs w:val="21"/>
          <w:highlight w:val="none"/>
        </w:rPr>
      </w:pPr>
      <w:bookmarkStart w:id="672" w:name="_Toc351203498"/>
      <w:bookmarkStart w:id="673" w:name="_Toc296346531"/>
      <w:bookmarkStart w:id="674" w:name="_Toc296503030"/>
      <w:bookmarkStart w:id="675" w:name="_Toc532377184"/>
      <w:bookmarkStart w:id="676" w:name="_Toc337558730"/>
      <w:r>
        <w:rPr>
          <w:rFonts w:hint="eastAsia"/>
          <w:color w:val="auto"/>
          <w:sz w:val="21"/>
          <w:szCs w:val="21"/>
          <w:highlight w:val="none"/>
        </w:rPr>
        <w:t>1.3法律</w:t>
      </w:r>
      <w:bookmarkEnd w:id="672"/>
      <w:bookmarkEnd w:id="673"/>
      <w:bookmarkEnd w:id="674"/>
      <w:bookmarkEnd w:id="675"/>
      <w:bookmarkEnd w:id="676"/>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合同所称法律是指中华人民共和国法律、行政法规、部门规章，以及工程所在地的地方性法规、自治条例、单行条例和地方政府规章等。</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合同当事人可以在专用合同条款中约定合同适用的其他规范性文件。</w:t>
      </w:r>
    </w:p>
    <w:p>
      <w:pPr>
        <w:pStyle w:val="7"/>
        <w:spacing w:before="0" w:beforeAutospacing="0" w:after="0" w:afterAutospacing="0" w:line="360" w:lineRule="auto"/>
        <w:ind w:firstLine="422" w:firstLineChars="200"/>
        <w:rPr>
          <w:color w:val="auto"/>
          <w:sz w:val="21"/>
          <w:szCs w:val="21"/>
          <w:highlight w:val="none"/>
        </w:rPr>
      </w:pPr>
      <w:bookmarkStart w:id="677" w:name="_Toc351203499"/>
      <w:bookmarkStart w:id="678" w:name="_Toc532377185"/>
      <w:r>
        <w:rPr>
          <w:rFonts w:hint="eastAsia"/>
          <w:color w:val="auto"/>
          <w:sz w:val="21"/>
          <w:szCs w:val="21"/>
          <w:highlight w:val="none"/>
        </w:rPr>
        <w:t>1.4 标准和规范</w:t>
      </w:r>
      <w:bookmarkEnd w:id="677"/>
      <w:bookmarkEnd w:id="678"/>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 适用于工程的国家标准、行业标准、工程所在地的地方性标准，以及相应的规范、规程等，合同当事人有特别要求的，应在专用合同条款中约定。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发包人要求使用国外标准、规范的，发包人负责提供原文版本和中文译本，并在专用合同条款中约定提供标准规范的名称、份数和时间。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beforeAutospacing="0" w:after="0" w:afterAutospacing="0" w:line="360" w:lineRule="auto"/>
        <w:ind w:firstLine="422" w:firstLineChars="200"/>
        <w:rPr>
          <w:color w:val="auto"/>
          <w:sz w:val="21"/>
          <w:szCs w:val="21"/>
          <w:highlight w:val="none"/>
        </w:rPr>
      </w:pPr>
      <w:bookmarkStart w:id="679" w:name="_Toc532377186"/>
      <w:bookmarkStart w:id="680" w:name="_Toc351203500"/>
      <w:r>
        <w:rPr>
          <w:rFonts w:hint="eastAsia"/>
          <w:color w:val="auto"/>
          <w:sz w:val="21"/>
          <w:szCs w:val="21"/>
          <w:highlight w:val="none"/>
        </w:rPr>
        <w:t>1</w:t>
      </w:r>
      <w:bookmarkStart w:id="681" w:name="_Toc337558731"/>
      <w:bookmarkStart w:id="682" w:name="_Toc296346532"/>
      <w:bookmarkStart w:id="683" w:name="_Toc296503031"/>
      <w:r>
        <w:rPr>
          <w:rFonts w:hint="eastAsia"/>
          <w:color w:val="auto"/>
          <w:sz w:val="21"/>
          <w:szCs w:val="21"/>
          <w:highlight w:val="none"/>
        </w:rPr>
        <w:t>.5 合同文件的优先顺序</w:t>
      </w:r>
      <w:bookmarkEnd w:id="679"/>
      <w:bookmarkEnd w:id="680"/>
    </w:p>
    <w:bookmarkEnd w:id="681"/>
    <w:bookmarkEnd w:id="682"/>
    <w:bookmarkEnd w:id="683"/>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组成合同的各项文件应互相解释，互为说明。除专用合同条款另有约定外，解释合同文件的优先顺序如下：</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（1）合同协议书；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（2）中标通知书（如有）；</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（3）比选申请函及其附录（如有）；</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（4）专用合同条款及其附件；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（5）通用合同条款；</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（6）技术标准和要求；</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（7）图纸；</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（8）已标价工程量清单或预算书；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（9）其他合同文件。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上述各项合同文件包括合同当事人就该项合同文件所作出的补充和修改，属于同一类内容的文件，应以最新签署的为准。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在合同订立及履行过程中形成的与合同有关的文件均构成合同文件组成部分，并根据其性质确定优先解释顺序。</w:t>
      </w:r>
    </w:p>
    <w:p>
      <w:pPr>
        <w:pStyle w:val="7"/>
        <w:spacing w:before="0" w:beforeAutospacing="0" w:after="0" w:afterAutospacing="0" w:line="360" w:lineRule="auto"/>
        <w:ind w:firstLine="422" w:firstLineChars="200"/>
        <w:rPr>
          <w:color w:val="auto"/>
          <w:sz w:val="21"/>
          <w:szCs w:val="21"/>
          <w:highlight w:val="none"/>
        </w:rPr>
      </w:pPr>
      <w:bookmarkStart w:id="684" w:name="_Toc532377187"/>
      <w:bookmarkStart w:id="685" w:name="_Toc351203501"/>
      <w:r>
        <w:rPr>
          <w:rFonts w:hint="eastAsia"/>
          <w:color w:val="auto"/>
          <w:sz w:val="21"/>
          <w:szCs w:val="21"/>
          <w:highlight w:val="none"/>
        </w:rPr>
        <w:t>1</w:t>
      </w:r>
      <w:bookmarkStart w:id="686" w:name="_Toc296346533"/>
      <w:bookmarkStart w:id="687" w:name="_Toc337558732"/>
      <w:bookmarkStart w:id="688" w:name="_Toc296503032"/>
      <w:r>
        <w:rPr>
          <w:rFonts w:hint="eastAsia"/>
          <w:color w:val="auto"/>
          <w:sz w:val="21"/>
          <w:szCs w:val="21"/>
          <w:highlight w:val="none"/>
        </w:rPr>
        <w:t>.6图纸和承包人文件</w:t>
      </w:r>
      <w:bookmarkEnd w:id="684"/>
      <w:bookmarkEnd w:id="685"/>
    </w:p>
    <w:bookmarkEnd w:id="686"/>
    <w:bookmarkEnd w:id="687"/>
    <w:bookmarkEnd w:id="688"/>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 图纸的提供和交底</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因发包人未按合同约定提供图纸导致承包人费用增加和（或）工期延误的，按照第7.5.1项〔因发包人原因导致工期延误〕约定办理。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 图纸的错误</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1.6.3 图纸的修改和补充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1.6.4 承包人文件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1.6.5 图纸和承包人文件的保管</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除专用合同条款另有约定外，承包人应在施工现场另外保存一套完整的图纸和承包人文件，供发包人、监理人及有关人员进行工程检查时使用。</w:t>
      </w:r>
    </w:p>
    <w:p>
      <w:pPr>
        <w:pStyle w:val="7"/>
        <w:spacing w:before="0" w:beforeAutospacing="0" w:after="0" w:afterAutospacing="0" w:line="360" w:lineRule="auto"/>
        <w:ind w:firstLine="422" w:firstLineChars="200"/>
        <w:rPr>
          <w:color w:val="auto"/>
          <w:sz w:val="21"/>
          <w:szCs w:val="21"/>
          <w:highlight w:val="none"/>
        </w:rPr>
      </w:pPr>
      <w:bookmarkStart w:id="689" w:name="_Toc532377188"/>
      <w:bookmarkStart w:id="690" w:name="_Toc351203502"/>
      <w:r>
        <w:rPr>
          <w:rFonts w:hint="eastAsia"/>
          <w:color w:val="auto"/>
          <w:sz w:val="21"/>
          <w:szCs w:val="21"/>
          <w:highlight w:val="none"/>
        </w:rPr>
        <w:t>1</w:t>
      </w:r>
      <w:bookmarkStart w:id="691" w:name="_Toc296346534"/>
      <w:bookmarkStart w:id="692" w:name="_Toc337558733"/>
      <w:bookmarkStart w:id="693" w:name="_Toc296503033"/>
      <w:r>
        <w:rPr>
          <w:rFonts w:hint="eastAsia"/>
          <w:color w:val="auto"/>
          <w:sz w:val="21"/>
          <w:szCs w:val="21"/>
          <w:highlight w:val="none"/>
        </w:rPr>
        <w:t>.7联络</w:t>
      </w:r>
      <w:bookmarkEnd w:id="689"/>
      <w:bookmarkEnd w:id="690"/>
    </w:p>
    <w:bookmarkEnd w:id="691"/>
    <w:bookmarkEnd w:id="692"/>
    <w:bookmarkEnd w:id="69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 发包人和承包人应当及时签收另一方送达至送达地点和指定接收人的来往信函。拒不签收的，由此增加的费用和（或）延误的工期由拒绝接收一方承担。</w:t>
      </w:r>
    </w:p>
    <w:p>
      <w:pPr>
        <w:pStyle w:val="7"/>
        <w:spacing w:before="0" w:beforeAutospacing="0" w:after="0" w:afterAutospacing="0" w:line="360" w:lineRule="auto"/>
        <w:ind w:firstLine="422" w:firstLineChars="200"/>
        <w:rPr>
          <w:color w:val="auto"/>
          <w:sz w:val="21"/>
          <w:szCs w:val="21"/>
          <w:highlight w:val="none"/>
        </w:rPr>
      </w:pPr>
      <w:bookmarkStart w:id="694" w:name="_Toc532377189"/>
      <w:bookmarkStart w:id="695" w:name="_Toc351203503"/>
      <w:r>
        <w:rPr>
          <w:rFonts w:hint="eastAsia"/>
          <w:color w:val="auto"/>
          <w:sz w:val="21"/>
          <w:szCs w:val="21"/>
          <w:highlight w:val="none"/>
        </w:rPr>
        <w:t>1</w:t>
      </w:r>
      <w:bookmarkStart w:id="696" w:name="_Toc296503035"/>
      <w:bookmarkStart w:id="697" w:name="_Toc296346536"/>
      <w:bookmarkStart w:id="698" w:name="_Toc337558734"/>
      <w:r>
        <w:rPr>
          <w:rFonts w:hint="eastAsia"/>
          <w:color w:val="auto"/>
          <w:sz w:val="21"/>
          <w:szCs w:val="21"/>
          <w:highlight w:val="none"/>
        </w:rPr>
        <w:t>.8严禁贿赂</w:t>
      </w:r>
      <w:bookmarkEnd w:id="694"/>
      <w:bookmarkEnd w:id="695"/>
    </w:p>
    <w:bookmarkEnd w:id="696"/>
    <w:bookmarkEnd w:id="697"/>
    <w:bookmarkEnd w:id="69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beforeAutospacing="0" w:after="0" w:afterAutospacing="0" w:line="360" w:lineRule="auto"/>
        <w:ind w:firstLine="422" w:firstLineChars="200"/>
        <w:rPr>
          <w:color w:val="auto"/>
          <w:sz w:val="21"/>
          <w:szCs w:val="21"/>
          <w:highlight w:val="none"/>
        </w:rPr>
      </w:pPr>
      <w:bookmarkStart w:id="699" w:name="_Toc532377190"/>
      <w:bookmarkStart w:id="700" w:name="_Toc351203504"/>
      <w:r>
        <w:rPr>
          <w:rFonts w:hint="eastAsia"/>
          <w:color w:val="auto"/>
          <w:sz w:val="21"/>
          <w:szCs w:val="21"/>
          <w:highlight w:val="none"/>
        </w:rPr>
        <w:t>1</w:t>
      </w:r>
      <w:bookmarkStart w:id="701" w:name="_Toc296503036"/>
      <w:bookmarkStart w:id="702" w:name="_Toc337558735"/>
      <w:bookmarkStart w:id="703" w:name="_Toc296346537"/>
      <w:r>
        <w:rPr>
          <w:rFonts w:hint="eastAsia"/>
          <w:color w:val="auto"/>
          <w:sz w:val="21"/>
          <w:szCs w:val="21"/>
          <w:highlight w:val="none"/>
        </w:rPr>
        <w:t>.9化石、文物</w:t>
      </w:r>
      <w:bookmarkEnd w:id="699"/>
      <w:bookmarkEnd w:id="700"/>
    </w:p>
    <w:bookmarkEnd w:id="701"/>
    <w:bookmarkEnd w:id="702"/>
    <w:bookmarkEnd w:id="70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发包人、监理人和承包人应按有关政府行政管理部门要求采取妥善的保护措施，由此增加的费用和（或）延误的工期由发包人承担。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承包人发现文物后不及时报告或隐瞒不报，致使文物丢失或损坏的，应赔偿损失，并承担相应的法律责任。</w:t>
      </w:r>
    </w:p>
    <w:p>
      <w:pPr>
        <w:pStyle w:val="7"/>
        <w:spacing w:before="0" w:beforeAutospacing="0" w:after="0" w:afterAutospacing="0" w:line="360" w:lineRule="auto"/>
        <w:ind w:firstLine="422" w:firstLineChars="200"/>
        <w:rPr>
          <w:color w:val="auto"/>
          <w:sz w:val="21"/>
          <w:szCs w:val="21"/>
          <w:highlight w:val="none"/>
        </w:rPr>
      </w:pPr>
      <w:bookmarkStart w:id="704" w:name="_Toc532377191"/>
      <w:bookmarkStart w:id="705" w:name="_Toc351203505"/>
      <w:r>
        <w:rPr>
          <w:rFonts w:hint="eastAsia"/>
          <w:color w:val="auto"/>
          <w:sz w:val="21"/>
          <w:szCs w:val="21"/>
          <w:highlight w:val="none"/>
        </w:rPr>
        <w:t>1</w:t>
      </w:r>
      <w:bookmarkStart w:id="706" w:name="_Toc337558736"/>
      <w:r>
        <w:rPr>
          <w:rFonts w:hint="eastAsia"/>
          <w:color w:val="auto"/>
          <w:sz w:val="21"/>
          <w:szCs w:val="21"/>
          <w:highlight w:val="none"/>
        </w:rPr>
        <w:t>.10交通运输</w:t>
      </w:r>
      <w:bookmarkEnd w:id="704"/>
      <w:bookmarkEnd w:id="705"/>
    </w:p>
    <w:bookmarkEnd w:id="706"/>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1.10.1 出入现场的权利</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1.10.2 场外交通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1.10.3场内交通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场外交通和场内交通的边界由合同当事人在专用合同条款中约定。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1.10.4 超大件和超重件的运输</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1.10.5 道路和桥梁的损坏责任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因承包人运输造成施工场地内外公共道路和桥梁损坏的，由承包人承担修复损坏的全部费用和可能引起的赔偿。</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1.10.6 水路和航空运输</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beforeAutospacing="0" w:after="0" w:afterAutospacing="0" w:line="360" w:lineRule="auto"/>
        <w:ind w:firstLine="422" w:firstLineChars="200"/>
        <w:rPr>
          <w:color w:val="auto"/>
          <w:sz w:val="21"/>
          <w:szCs w:val="21"/>
          <w:highlight w:val="none"/>
        </w:rPr>
      </w:pPr>
      <w:bookmarkStart w:id="707" w:name="_Toc532377192"/>
      <w:bookmarkStart w:id="708" w:name="_Toc351203506"/>
      <w:r>
        <w:rPr>
          <w:rFonts w:hint="eastAsia"/>
          <w:color w:val="auto"/>
          <w:sz w:val="21"/>
          <w:szCs w:val="21"/>
          <w:highlight w:val="none"/>
        </w:rPr>
        <w:t>1</w:t>
      </w:r>
      <w:bookmarkStart w:id="709" w:name="_Toc337558737"/>
      <w:bookmarkStart w:id="710" w:name="_Toc296503037"/>
      <w:bookmarkStart w:id="711" w:name="_Toc296346538"/>
      <w:r>
        <w:rPr>
          <w:rFonts w:hint="eastAsia"/>
          <w:color w:val="auto"/>
          <w:sz w:val="21"/>
          <w:szCs w:val="21"/>
          <w:highlight w:val="none"/>
        </w:rPr>
        <w:t>.11知识产权</w:t>
      </w:r>
      <w:bookmarkEnd w:id="707"/>
      <w:bookmarkEnd w:id="708"/>
      <w:bookmarkEnd w:id="709"/>
    </w:p>
    <w:bookmarkEnd w:id="710"/>
    <w:bookmarkEnd w:id="711"/>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除专用合同条款另有约定外，承包人在合同签订前和签订时已确定采用的专利、专有技术、技术秘密的使用费已包含在签约合同价中。</w:t>
      </w:r>
    </w:p>
    <w:p>
      <w:pPr>
        <w:pStyle w:val="7"/>
        <w:spacing w:before="0" w:beforeAutospacing="0" w:after="0" w:afterAutospacing="0" w:line="360" w:lineRule="auto"/>
        <w:ind w:firstLine="422" w:firstLineChars="200"/>
        <w:rPr>
          <w:color w:val="auto"/>
          <w:sz w:val="21"/>
          <w:szCs w:val="21"/>
          <w:highlight w:val="none"/>
        </w:rPr>
      </w:pPr>
      <w:bookmarkStart w:id="712" w:name="_Toc532377193"/>
      <w:bookmarkStart w:id="713" w:name="_Toc351203507"/>
      <w:r>
        <w:rPr>
          <w:rFonts w:hint="eastAsia"/>
          <w:color w:val="auto"/>
          <w:sz w:val="21"/>
          <w:szCs w:val="21"/>
          <w:highlight w:val="none"/>
        </w:rPr>
        <w:t>1</w:t>
      </w:r>
      <w:bookmarkStart w:id="714" w:name="_Toc337558738"/>
      <w:r>
        <w:rPr>
          <w:rFonts w:hint="eastAsia"/>
          <w:color w:val="auto"/>
          <w:sz w:val="21"/>
          <w:szCs w:val="21"/>
          <w:highlight w:val="none"/>
        </w:rPr>
        <w:t>.12保密</w:t>
      </w:r>
      <w:bookmarkEnd w:id="712"/>
      <w:bookmarkEnd w:id="713"/>
    </w:p>
    <w:bookmarkEnd w:id="71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除法律规定或合同另有约定外，未经承包人同意，发包人不得将承包人提供的技术秘密及声明需要保密的资料信息等商业秘密泄露给第三方。</w:t>
      </w:r>
    </w:p>
    <w:p>
      <w:pPr>
        <w:pStyle w:val="7"/>
        <w:spacing w:before="0" w:beforeAutospacing="0" w:after="0" w:afterAutospacing="0" w:line="360" w:lineRule="auto"/>
        <w:ind w:firstLine="422" w:firstLineChars="200"/>
        <w:rPr>
          <w:color w:val="auto"/>
          <w:sz w:val="21"/>
          <w:szCs w:val="21"/>
          <w:highlight w:val="none"/>
        </w:rPr>
      </w:pPr>
      <w:bookmarkStart w:id="715" w:name="_Toc351203508"/>
      <w:bookmarkStart w:id="716" w:name="_Toc532377194"/>
      <w:r>
        <w:rPr>
          <w:rFonts w:hint="eastAsia"/>
          <w:color w:val="auto"/>
          <w:sz w:val="21"/>
          <w:szCs w:val="21"/>
          <w:highlight w:val="none"/>
        </w:rPr>
        <w:t>1.13工程量清单错误的修正</w:t>
      </w:r>
      <w:bookmarkEnd w:id="715"/>
      <w:bookmarkEnd w:id="716"/>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（1）工程量清单存在缺项、漏项的；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（2）工程量清单偏差超出专用合同条款约定的工程量偏差范围的；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（3）未按照国家现行计量规范强制性规定计量的。</w:t>
      </w:r>
    </w:p>
    <w:p>
      <w:pPr>
        <w:pStyle w:val="6"/>
        <w:keepNext/>
        <w:keepLines/>
        <w:spacing w:before="156" w:beforeLines="50" w:beforeAutospacing="0" w:after="156" w:afterLines="50" w:afterAutospacing="0" w:line="360" w:lineRule="auto"/>
        <w:jc w:val="both"/>
        <w:rPr>
          <w:color w:val="auto"/>
          <w:kern w:val="2"/>
          <w:sz w:val="21"/>
          <w:szCs w:val="21"/>
          <w:highlight w:val="none"/>
        </w:rPr>
      </w:pPr>
      <w:bookmarkStart w:id="717" w:name="_Toc351203509"/>
      <w:bookmarkStart w:id="718" w:name="_Toc532375588"/>
      <w:bookmarkStart w:id="719" w:name="_Toc532377195"/>
      <w:r>
        <w:rPr>
          <w:rFonts w:hint="eastAsia"/>
          <w:color w:val="auto"/>
          <w:kern w:val="2"/>
          <w:sz w:val="21"/>
          <w:szCs w:val="21"/>
          <w:highlight w:val="none"/>
        </w:rPr>
        <w:t>2</w:t>
      </w:r>
      <w:bookmarkStart w:id="720" w:name="_Toc296346539"/>
      <w:bookmarkStart w:id="721" w:name="_Toc296503038"/>
      <w:bookmarkStart w:id="722" w:name="_Toc337558739"/>
      <w:bookmarkStart w:id="723" w:name="OLE_LINK2"/>
      <w:r>
        <w:rPr>
          <w:rFonts w:hint="eastAsia"/>
          <w:color w:val="auto"/>
          <w:kern w:val="2"/>
          <w:sz w:val="21"/>
          <w:szCs w:val="21"/>
          <w:highlight w:val="none"/>
        </w:rPr>
        <w:t>. 发包人</w:t>
      </w:r>
      <w:bookmarkEnd w:id="717"/>
      <w:bookmarkEnd w:id="718"/>
      <w:bookmarkEnd w:id="719"/>
    </w:p>
    <w:bookmarkEnd w:id="720"/>
    <w:bookmarkEnd w:id="721"/>
    <w:bookmarkEnd w:id="722"/>
    <w:p>
      <w:pPr>
        <w:pStyle w:val="7"/>
        <w:spacing w:before="0" w:beforeAutospacing="0" w:after="0" w:afterAutospacing="0" w:line="360" w:lineRule="auto"/>
        <w:ind w:firstLine="422" w:firstLineChars="200"/>
        <w:rPr>
          <w:color w:val="auto"/>
          <w:sz w:val="21"/>
          <w:szCs w:val="21"/>
          <w:highlight w:val="none"/>
        </w:rPr>
      </w:pPr>
      <w:bookmarkStart w:id="724" w:name="_Toc532377196"/>
      <w:bookmarkStart w:id="725" w:name="_Toc351203510"/>
      <w:r>
        <w:rPr>
          <w:rFonts w:hint="eastAsia"/>
          <w:color w:val="auto"/>
          <w:sz w:val="21"/>
          <w:szCs w:val="21"/>
          <w:highlight w:val="none"/>
        </w:rPr>
        <w:t>2</w:t>
      </w:r>
      <w:bookmarkStart w:id="726" w:name="_Toc296503039"/>
      <w:bookmarkStart w:id="727" w:name="_Toc337558740"/>
      <w:bookmarkStart w:id="728" w:name="_Toc296346540"/>
      <w:r>
        <w:rPr>
          <w:rFonts w:hint="eastAsia"/>
          <w:color w:val="auto"/>
          <w:sz w:val="21"/>
          <w:szCs w:val="21"/>
          <w:highlight w:val="none"/>
        </w:rPr>
        <w:t>.1 许可或批准</w:t>
      </w:r>
      <w:bookmarkEnd w:id="724"/>
      <w:bookmarkEnd w:id="725"/>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因发包人原因未能及时办理完毕前述许可、批准或备案，由发包人承担由此增加的费用和（或）延误的工期，并支付承包人合理的利润。</w:t>
      </w:r>
    </w:p>
    <w:p>
      <w:pPr>
        <w:pStyle w:val="7"/>
        <w:spacing w:before="0" w:beforeAutospacing="0" w:after="0" w:afterAutospacing="0" w:line="360" w:lineRule="auto"/>
        <w:ind w:firstLine="422" w:firstLineChars="200"/>
        <w:rPr>
          <w:color w:val="auto"/>
          <w:sz w:val="21"/>
          <w:szCs w:val="21"/>
          <w:highlight w:val="none"/>
        </w:rPr>
      </w:pPr>
      <w:bookmarkStart w:id="729" w:name="_Toc351203511"/>
      <w:bookmarkStart w:id="730" w:name="_Toc532377197"/>
      <w:r>
        <w:rPr>
          <w:rFonts w:hint="eastAsia"/>
          <w:color w:val="auto"/>
          <w:sz w:val="21"/>
          <w:szCs w:val="21"/>
          <w:highlight w:val="none"/>
        </w:rPr>
        <w:t>2.2 发包人代表</w:t>
      </w:r>
      <w:bookmarkEnd w:id="729"/>
      <w:bookmarkEnd w:id="730"/>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发包人代表不能按照合同约定履行其职责及义务，并导致合同无法继续正常履行的，承包人可以要求发包人撤换发包人代表。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不属于法定必须监理的工程，监理人的职权可以由发包人代表或发包人指定的其他人员行使。</w:t>
      </w:r>
    </w:p>
    <w:p>
      <w:pPr>
        <w:pStyle w:val="7"/>
        <w:spacing w:before="0" w:beforeAutospacing="0" w:after="0" w:afterAutospacing="0" w:line="360" w:lineRule="auto"/>
        <w:ind w:firstLine="422" w:firstLineChars="200"/>
        <w:rPr>
          <w:color w:val="auto"/>
          <w:sz w:val="21"/>
          <w:szCs w:val="21"/>
          <w:highlight w:val="none"/>
        </w:rPr>
      </w:pPr>
      <w:bookmarkStart w:id="731" w:name="_Toc351203512"/>
      <w:bookmarkStart w:id="732" w:name="_Toc532377198"/>
      <w:r>
        <w:rPr>
          <w:rFonts w:hint="eastAsia"/>
          <w:color w:val="auto"/>
          <w:sz w:val="21"/>
          <w:szCs w:val="21"/>
          <w:highlight w:val="none"/>
        </w:rPr>
        <w:t>2.3 发包人人员</w:t>
      </w:r>
      <w:bookmarkEnd w:id="731"/>
      <w:bookmarkEnd w:id="732"/>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发包人人员包括发包人代表及其他由发包人派驻施工现场的人员。</w:t>
      </w:r>
      <w:bookmarkEnd w:id="726"/>
      <w:bookmarkEnd w:id="727"/>
      <w:bookmarkEnd w:id="728"/>
    </w:p>
    <w:p>
      <w:pPr>
        <w:pStyle w:val="7"/>
        <w:spacing w:before="0" w:beforeAutospacing="0" w:after="0" w:afterAutospacing="0" w:line="360" w:lineRule="auto"/>
        <w:ind w:firstLine="422" w:firstLineChars="200"/>
        <w:rPr>
          <w:color w:val="auto"/>
          <w:sz w:val="21"/>
          <w:szCs w:val="21"/>
          <w:highlight w:val="none"/>
        </w:rPr>
      </w:pPr>
      <w:bookmarkStart w:id="733" w:name="_Toc532377199"/>
      <w:bookmarkStart w:id="734" w:name="_Toc351203513"/>
      <w:r>
        <w:rPr>
          <w:rFonts w:hint="eastAsia"/>
          <w:color w:val="auto"/>
          <w:sz w:val="21"/>
          <w:szCs w:val="21"/>
          <w:highlight w:val="none"/>
        </w:rPr>
        <w:t>2</w:t>
      </w:r>
      <w:bookmarkStart w:id="735" w:name="_Toc296346541"/>
      <w:bookmarkStart w:id="736" w:name="_Toc337558741"/>
      <w:bookmarkStart w:id="737" w:name="_Toc296503040"/>
      <w:r>
        <w:rPr>
          <w:rFonts w:hint="eastAsia"/>
          <w:color w:val="auto"/>
          <w:sz w:val="21"/>
          <w:szCs w:val="21"/>
          <w:highlight w:val="none"/>
        </w:rPr>
        <w:t>.4 施工现场、施工条件和基础资料的提供</w:t>
      </w:r>
      <w:bookmarkEnd w:id="733"/>
      <w:bookmarkEnd w:id="734"/>
      <w:bookmarkEnd w:id="735"/>
      <w:bookmarkEnd w:id="736"/>
      <w:bookmarkEnd w:id="737"/>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2.4.1 提供施工现场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w:t>
      </w:r>
      <w:bookmarkEnd w:id="723"/>
      <w:r>
        <w:rPr>
          <w:rFonts w:hint="eastAsia" w:ascii="宋体" w:hAnsi="宋体"/>
          <w:color w:val="auto"/>
          <w:kern w:val="0"/>
          <w:szCs w:val="21"/>
          <w:highlight w:val="none"/>
        </w:rPr>
        <w:t>专用合同条款另有约定外，发包人应最迟于开工日期7天前向承包人移交施工现场。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2.4.2 提供施工条件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除专用合同条款另有约定外，发包人应负责提供施工所需要的条件，包括：</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（1）将施工用水、电力、通讯线路等施工所必需的条件接至施工现场内；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（2）保证向承包人提供正常施工所需要的进入施工现场的交通条件；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（3）协调处理施工现场周围地下管线和邻近建筑物、构筑物、古树名木的保护工作，并承担相关费用；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（4）按照专用合同条款约定应提供的其他设施和条件。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2.4.3 提供基础资料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2.4.4 逾期提供的责任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因发包人原因未能按合同约定及时向承包人提供施工现场、施工条件、基础资料的，由发包人承担由此增加的费用和（或）延误的工期。</w:t>
      </w:r>
    </w:p>
    <w:p>
      <w:pPr>
        <w:pStyle w:val="7"/>
        <w:spacing w:before="0" w:beforeAutospacing="0" w:after="0" w:afterAutospacing="0" w:line="360" w:lineRule="auto"/>
        <w:ind w:firstLine="422" w:firstLineChars="200"/>
        <w:rPr>
          <w:color w:val="auto"/>
          <w:sz w:val="21"/>
          <w:szCs w:val="21"/>
          <w:highlight w:val="none"/>
        </w:rPr>
      </w:pPr>
      <w:bookmarkStart w:id="738" w:name="_Toc351203514"/>
      <w:bookmarkStart w:id="739" w:name="_Toc532377200"/>
      <w:r>
        <w:rPr>
          <w:rFonts w:hint="eastAsia"/>
          <w:color w:val="auto"/>
          <w:sz w:val="21"/>
          <w:szCs w:val="21"/>
          <w:highlight w:val="none"/>
        </w:rPr>
        <w:t>2</w:t>
      </w:r>
      <w:bookmarkStart w:id="740" w:name="_Toc296503042"/>
      <w:bookmarkStart w:id="741" w:name="_Toc296346543"/>
      <w:bookmarkStart w:id="742" w:name="_Toc337558745"/>
      <w:r>
        <w:rPr>
          <w:rFonts w:hint="eastAsia"/>
          <w:color w:val="auto"/>
          <w:sz w:val="21"/>
          <w:szCs w:val="21"/>
          <w:highlight w:val="none"/>
        </w:rPr>
        <w:t>.5 资</w:t>
      </w:r>
      <w:bookmarkEnd w:id="740"/>
      <w:bookmarkEnd w:id="741"/>
      <w:bookmarkEnd w:id="742"/>
      <w:r>
        <w:rPr>
          <w:rFonts w:hint="eastAsia"/>
          <w:color w:val="auto"/>
          <w:sz w:val="21"/>
          <w:szCs w:val="21"/>
          <w:highlight w:val="none"/>
        </w:rPr>
        <w:t>金来源证明及支付担保</w:t>
      </w:r>
      <w:bookmarkEnd w:id="738"/>
      <w:bookmarkEnd w:id="739"/>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beforeAutospacing="0" w:after="0" w:afterAutospacing="0" w:line="360" w:lineRule="auto"/>
        <w:ind w:firstLine="422" w:firstLineChars="200"/>
        <w:rPr>
          <w:color w:val="auto"/>
          <w:sz w:val="21"/>
          <w:szCs w:val="21"/>
          <w:highlight w:val="none"/>
        </w:rPr>
      </w:pPr>
      <w:bookmarkStart w:id="743" w:name="_Toc532377201"/>
      <w:bookmarkStart w:id="744" w:name="_Toc351203515"/>
      <w:r>
        <w:rPr>
          <w:rFonts w:hint="eastAsia"/>
          <w:color w:val="auto"/>
          <w:sz w:val="21"/>
          <w:szCs w:val="21"/>
          <w:highlight w:val="none"/>
        </w:rPr>
        <w:t>2.6 支付合同价款</w:t>
      </w:r>
      <w:bookmarkEnd w:id="743"/>
      <w:bookmarkEnd w:id="744"/>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发包人应按合同约定向承包人及时支付合同价款。</w:t>
      </w:r>
    </w:p>
    <w:p>
      <w:pPr>
        <w:pStyle w:val="7"/>
        <w:spacing w:before="0" w:beforeAutospacing="0" w:after="0" w:afterAutospacing="0" w:line="360" w:lineRule="auto"/>
        <w:ind w:firstLine="422" w:firstLineChars="200"/>
        <w:rPr>
          <w:color w:val="auto"/>
          <w:sz w:val="21"/>
          <w:szCs w:val="21"/>
          <w:highlight w:val="none"/>
        </w:rPr>
      </w:pPr>
      <w:bookmarkStart w:id="745" w:name="_Toc351203516"/>
      <w:bookmarkStart w:id="746" w:name="_Toc532377202"/>
      <w:r>
        <w:rPr>
          <w:rFonts w:hint="eastAsia"/>
          <w:color w:val="auto"/>
          <w:sz w:val="21"/>
          <w:szCs w:val="21"/>
          <w:highlight w:val="none"/>
        </w:rPr>
        <w:t>2.7 组织竣工验收</w:t>
      </w:r>
      <w:bookmarkEnd w:id="745"/>
      <w:bookmarkEnd w:id="746"/>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发包人应按合同约定及时组织竣工验收。</w:t>
      </w:r>
    </w:p>
    <w:p>
      <w:pPr>
        <w:pStyle w:val="7"/>
        <w:spacing w:before="0" w:beforeAutospacing="0" w:after="0" w:afterAutospacing="0" w:line="360" w:lineRule="auto"/>
        <w:ind w:firstLine="422" w:firstLineChars="200"/>
        <w:rPr>
          <w:color w:val="auto"/>
          <w:sz w:val="21"/>
          <w:szCs w:val="21"/>
          <w:highlight w:val="none"/>
        </w:rPr>
      </w:pPr>
      <w:bookmarkStart w:id="747" w:name="_Toc532377203"/>
      <w:bookmarkStart w:id="748" w:name="_Toc351203517"/>
      <w:r>
        <w:rPr>
          <w:rFonts w:hint="eastAsia"/>
          <w:color w:val="auto"/>
          <w:sz w:val="21"/>
          <w:szCs w:val="21"/>
          <w:highlight w:val="none"/>
        </w:rPr>
        <w:t>2.8 现场统一管理协议</w:t>
      </w:r>
      <w:bookmarkEnd w:id="747"/>
      <w:bookmarkEnd w:id="748"/>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49" w:name="_Toc351203518"/>
      <w:bookmarkStart w:id="750" w:name="_Toc532375589"/>
      <w:bookmarkStart w:id="751" w:name="_Toc532377204"/>
      <w:r>
        <w:rPr>
          <w:rFonts w:hint="eastAsia"/>
          <w:color w:val="auto"/>
          <w:kern w:val="2"/>
          <w:sz w:val="21"/>
          <w:szCs w:val="21"/>
          <w:highlight w:val="none"/>
        </w:rPr>
        <w:t>3</w:t>
      </w:r>
      <w:bookmarkStart w:id="752" w:name="_Toc296346546"/>
      <w:bookmarkStart w:id="753" w:name="_Toc296503045"/>
      <w:bookmarkStart w:id="754" w:name="_Toc337558746"/>
      <w:r>
        <w:rPr>
          <w:rFonts w:hint="eastAsia"/>
          <w:color w:val="auto"/>
          <w:kern w:val="2"/>
          <w:sz w:val="21"/>
          <w:szCs w:val="21"/>
          <w:highlight w:val="none"/>
        </w:rPr>
        <w:t>. 承包人</w:t>
      </w:r>
      <w:bookmarkEnd w:id="749"/>
      <w:bookmarkEnd w:id="750"/>
      <w:bookmarkEnd w:id="751"/>
    </w:p>
    <w:bookmarkEnd w:id="752"/>
    <w:bookmarkEnd w:id="753"/>
    <w:bookmarkEnd w:id="754"/>
    <w:p>
      <w:pPr>
        <w:pStyle w:val="7"/>
        <w:spacing w:before="0" w:beforeAutospacing="0" w:after="0" w:afterAutospacing="0" w:line="360" w:lineRule="auto"/>
        <w:ind w:firstLine="422" w:firstLineChars="200"/>
        <w:rPr>
          <w:color w:val="auto"/>
          <w:sz w:val="21"/>
          <w:szCs w:val="21"/>
          <w:highlight w:val="none"/>
        </w:rPr>
      </w:pPr>
      <w:bookmarkStart w:id="755" w:name="_Toc351203519"/>
      <w:bookmarkStart w:id="756" w:name="_Toc532377205"/>
      <w:r>
        <w:rPr>
          <w:rFonts w:hint="eastAsia"/>
          <w:color w:val="auto"/>
          <w:sz w:val="21"/>
          <w:szCs w:val="21"/>
          <w:highlight w:val="none"/>
        </w:rPr>
        <w:t>3</w:t>
      </w:r>
      <w:bookmarkStart w:id="757" w:name="_Toc296503046"/>
      <w:bookmarkStart w:id="758" w:name="_Toc337558747"/>
      <w:bookmarkStart w:id="759" w:name="_Toc296346547"/>
      <w:r>
        <w:rPr>
          <w:rFonts w:hint="eastAsia"/>
          <w:color w:val="auto"/>
          <w:sz w:val="21"/>
          <w:szCs w:val="21"/>
          <w:highlight w:val="none"/>
        </w:rPr>
        <w:t>.1 承包人的一般义务</w:t>
      </w:r>
      <w:bookmarkEnd w:id="755"/>
      <w:bookmarkEnd w:id="756"/>
    </w:p>
    <w:bookmarkEnd w:id="757"/>
    <w:bookmarkEnd w:id="758"/>
    <w:bookmarkEnd w:id="75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承包人在履行合同过程中应遵守法律和工程建设标准规范，并履行以下义务：</w:t>
      </w:r>
    </w:p>
    <w:p>
      <w:pPr>
        <w:numPr>
          <w:ilvl w:val="0"/>
          <w:numId w:val="1"/>
        </w:num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办理法律规定应由承包人办理的许可和批准，并将办理结果书面报送发包人留存；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（2）按法律规定和合同约定完成工程，并在保修期内承担保修义务；</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（3）按法律规定和合同约定采取施工安全和环境保护措施，办理工伤保险，确保工程及人员、材料、设备和设施的安全；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（6）按照第6.3款〔环境保护〕约定负责施工场地及其周边环境与生态的保护工作；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（10）应履行的其他义务。</w:t>
      </w:r>
    </w:p>
    <w:p>
      <w:pPr>
        <w:pStyle w:val="7"/>
        <w:spacing w:before="0" w:beforeAutospacing="0" w:after="0" w:afterAutospacing="0" w:line="360" w:lineRule="auto"/>
        <w:ind w:firstLine="422" w:firstLineChars="200"/>
        <w:rPr>
          <w:color w:val="auto"/>
          <w:sz w:val="21"/>
          <w:szCs w:val="21"/>
          <w:highlight w:val="none"/>
        </w:rPr>
      </w:pPr>
      <w:bookmarkStart w:id="760" w:name="_Toc351203520"/>
      <w:bookmarkStart w:id="761" w:name="_Toc532377206"/>
      <w:r>
        <w:rPr>
          <w:rFonts w:hint="eastAsia"/>
          <w:color w:val="auto"/>
          <w:sz w:val="21"/>
          <w:szCs w:val="21"/>
          <w:highlight w:val="none"/>
        </w:rPr>
        <w:t>3</w:t>
      </w:r>
      <w:bookmarkStart w:id="762" w:name="_Toc296503047"/>
      <w:bookmarkStart w:id="763" w:name="_Toc296346548"/>
      <w:bookmarkStart w:id="764" w:name="_Toc337558748"/>
      <w:r>
        <w:rPr>
          <w:rFonts w:hint="eastAsia"/>
          <w:color w:val="auto"/>
          <w:sz w:val="21"/>
          <w:szCs w:val="21"/>
          <w:highlight w:val="none"/>
        </w:rPr>
        <w:t xml:space="preserve">.2 </w:t>
      </w:r>
      <w:bookmarkEnd w:id="760"/>
      <w:r>
        <w:rPr>
          <w:rFonts w:hint="eastAsia"/>
          <w:color w:val="auto"/>
          <w:sz w:val="21"/>
          <w:szCs w:val="21"/>
          <w:highlight w:val="none"/>
        </w:rPr>
        <w:t>项目经理</w:t>
      </w:r>
      <w:bookmarkEnd w:id="761"/>
    </w:p>
    <w:bookmarkEnd w:id="762"/>
    <w:bookmarkEnd w:id="763"/>
    <w:bookmarkEnd w:id="76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承包人违反上述约定的，应按照专用合同条款的约定，承担违约责任。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beforeAutospacing="0" w:after="0" w:afterAutospacing="0" w:line="360" w:lineRule="auto"/>
        <w:ind w:firstLine="422" w:firstLineChars="200"/>
        <w:rPr>
          <w:color w:val="auto"/>
          <w:sz w:val="21"/>
          <w:szCs w:val="21"/>
          <w:highlight w:val="none"/>
        </w:rPr>
      </w:pPr>
      <w:bookmarkStart w:id="765" w:name="_Toc532377207"/>
      <w:bookmarkStart w:id="766" w:name="_Toc351203521"/>
      <w:r>
        <w:rPr>
          <w:rFonts w:hint="eastAsia"/>
          <w:color w:val="auto"/>
          <w:sz w:val="21"/>
          <w:szCs w:val="21"/>
          <w:highlight w:val="none"/>
        </w:rPr>
        <w:t>3</w:t>
      </w:r>
      <w:bookmarkStart w:id="767" w:name="_Toc296346549"/>
      <w:bookmarkStart w:id="768" w:name="_Toc296503048"/>
      <w:bookmarkStart w:id="769" w:name="_Toc337558749"/>
      <w:r>
        <w:rPr>
          <w:rFonts w:hint="eastAsia"/>
          <w:color w:val="auto"/>
          <w:sz w:val="21"/>
          <w:szCs w:val="21"/>
          <w:highlight w:val="none"/>
        </w:rPr>
        <w:t xml:space="preserve">.3 </w:t>
      </w:r>
      <w:bookmarkEnd w:id="767"/>
      <w:bookmarkEnd w:id="768"/>
      <w:r>
        <w:rPr>
          <w:rFonts w:hint="eastAsia"/>
          <w:color w:val="auto"/>
          <w:sz w:val="21"/>
          <w:szCs w:val="21"/>
          <w:highlight w:val="none"/>
        </w:rPr>
        <w:t>承包人人员</w:t>
      </w:r>
      <w:bookmarkEnd w:id="765"/>
      <w:bookmarkEnd w:id="766"/>
    </w:p>
    <w:bookmarkEnd w:id="76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特殊工种作业人员均应持有相应的资格证明，监理人可以随时检查。</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3.3.5 承包人擅自更换主要施工管理人员，或前述人员未经监理人或发包人同意擅自离开施工现场的，应按照专用合同条款约定承担违约责任。</w:t>
      </w:r>
    </w:p>
    <w:p>
      <w:pPr>
        <w:pStyle w:val="7"/>
        <w:spacing w:before="0" w:beforeAutospacing="0" w:after="0" w:afterAutospacing="0" w:line="360" w:lineRule="auto"/>
        <w:ind w:firstLine="422" w:firstLineChars="200"/>
        <w:rPr>
          <w:color w:val="auto"/>
          <w:sz w:val="21"/>
          <w:szCs w:val="21"/>
          <w:highlight w:val="none"/>
        </w:rPr>
      </w:pPr>
      <w:bookmarkStart w:id="770" w:name="_Toc532377208"/>
      <w:bookmarkStart w:id="771" w:name="_Toc351203522"/>
      <w:r>
        <w:rPr>
          <w:rFonts w:hint="eastAsia"/>
          <w:color w:val="auto"/>
          <w:sz w:val="21"/>
          <w:szCs w:val="21"/>
          <w:highlight w:val="none"/>
        </w:rPr>
        <w:t>3</w:t>
      </w:r>
      <w:bookmarkStart w:id="772" w:name="_Toc296346551"/>
      <w:bookmarkStart w:id="773" w:name="_Toc296503050"/>
      <w:bookmarkStart w:id="774" w:name="_Toc337558750"/>
      <w:r>
        <w:rPr>
          <w:rFonts w:hint="eastAsia"/>
          <w:color w:val="auto"/>
          <w:sz w:val="21"/>
          <w:szCs w:val="21"/>
          <w:highlight w:val="none"/>
        </w:rPr>
        <w:t>.4 承包人现场查勘</w:t>
      </w:r>
      <w:bookmarkEnd w:id="770"/>
      <w:bookmarkEnd w:id="771"/>
    </w:p>
    <w:bookmarkEnd w:id="772"/>
    <w:bookmarkEnd w:id="773"/>
    <w:bookmarkEnd w:id="77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beforeAutospacing="0" w:after="0" w:afterAutospacing="0" w:line="360" w:lineRule="auto"/>
        <w:ind w:firstLine="422" w:firstLineChars="200"/>
        <w:rPr>
          <w:color w:val="auto"/>
          <w:sz w:val="21"/>
          <w:szCs w:val="21"/>
          <w:highlight w:val="none"/>
        </w:rPr>
      </w:pPr>
      <w:bookmarkStart w:id="775" w:name="_Toc351203523"/>
      <w:bookmarkStart w:id="776" w:name="_Toc532377209"/>
      <w:r>
        <w:rPr>
          <w:rFonts w:hint="eastAsia"/>
          <w:color w:val="auto"/>
          <w:sz w:val="21"/>
          <w:szCs w:val="21"/>
          <w:highlight w:val="none"/>
        </w:rPr>
        <w:t>3</w:t>
      </w:r>
      <w:bookmarkStart w:id="777" w:name="_Toc337558751"/>
      <w:bookmarkStart w:id="778" w:name="_Toc296346552"/>
      <w:bookmarkStart w:id="779" w:name="_Toc296503051"/>
      <w:r>
        <w:rPr>
          <w:rFonts w:hint="eastAsia"/>
          <w:color w:val="auto"/>
          <w:sz w:val="21"/>
          <w:szCs w:val="21"/>
          <w:highlight w:val="none"/>
        </w:rPr>
        <w:t>.5 分包</w:t>
      </w:r>
      <w:bookmarkEnd w:id="775"/>
      <w:bookmarkEnd w:id="776"/>
    </w:p>
    <w:bookmarkEnd w:id="777"/>
    <w:bookmarkEnd w:id="778"/>
    <w:bookmarkEnd w:id="779"/>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3.5.1 分包的一般约定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承包人不得以劳务分包的名义转包或违法分包工程。</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3.5.2 分包的确定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3.5.3 分包管理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3.5.4 分包合同价款</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（2）生效法律文书要求发包人向分包人支付分包合同价款的，发包人有权从应付承包人工程款中扣除该部分款项。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3.5.5 分包合同权益的转让</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80" w:name="_Toc351203524"/>
    </w:p>
    <w:p>
      <w:pPr>
        <w:pStyle w:val="7"/>
        <w:spacing w:before="0" w:beforeAutospacing="0" w:after="0" w:afterAutospacing="0" w:line="360" w:lineRule="auto"/>
        <w:ind w:firstLine="422" w:firstLineChars="200"/>
        <w:rPr>
          <w:color w:val="auto"/>
          <w:sz w:val="21"/>
          <w:szCs w:val="21"/>
          <w:highlight w:val="none"/>
        </w:rPr>
      </w:pPr>
      <w:bookmarkStart w:id="781" w:name="_Toc532377210"/>
      <w:r>
        <w:rPr>
          <w:rFonts w:hint="eastAsia"/>
          <w:color w:val="auto"/>
          <w:sz w:val="21"/>
          <w:szCs w:val="21"/>
          <w:highlight w:val="none"/>
        </w:rPr>
        <w:t>3.6 工程照管与成品、半成品保护</w:t>
      </w:r>
      <w:bookmarkEnd w:id="780"/>
      <w:bookmarkEnd w:id="781"/>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beforeAutospacing="0" w:after="0" w:afterAutospacing="0" w:line="360" w:lineRule="auto"/>
        <w:ind w:firstLine="422" w:firstLineChars="200"/>
        <w:rPr>
          <w:color w:val="auto"/>
          <w:sz w:val="21"/>
          <w:szCs w:val="21"/>
          <w:highlight w:val="none"/>
        </w:rPr>
      </w:pPr>
      <w:bookmarkStart w:id="782" w:name="_Toc351203525"/>
      <w:bookmarkStart w:id="783" w:name="_Toc532377211"/>
      <w:r>
        <w:rPr>
          <w:rFonts w:hint="eastAsia"/>
          <w:color w:val="auto"/>
          <w:sz w:val="21"/>
          <w:szCs w:val="21"/>
          <w:highlight w:val="none"/>
        </w:rPr>
        <w:t>3</w:t>
      </w:r>
      <w:bookmarkStart w:id="784" w:name="_Toc337558752"/>
      <w:bookmarkStart w:id="785" w:name="_Toc296346553"/>
      <w:bookmarkStart w:id="786" w:name="_Toc296503052"/>
      <w:r>
        <w:rPr>
          <w:rFonts w:hint="eastAsia"/>
          <w:color w:val="auto"/>
          <w:sz w:val="21"/>
          <w:szCs w:val="21"/>
          <w:highlight w:val="none"/>
        </w:rPr>
        <w:t>.7 履约担保</w:t>
      </w:r>
      <w:bookmarkEnd w:id="782"/>
      <w:bookmarkEnd w:id="783"/>
    </w:p>
    <w:bookmarkEnd w:id="784"/>
    <w:bookmarkEnd w:id="785"/>
    <w:bookmarkEnd w:id="78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pPr>
        <w:pStyle w:val="7"/>
        <w:spacing w:before="0" w:beforeAutospacing="0" w:after="0" w:afterAutospacing="0" w:line="360" w:lineRule="auto"/>
        <w:ind w:firstLine="422" w:firstLineChars="200"/>
        <w:rPr>
          <w:color w:val="auto"/>
          <w:sz w:val="21"/>
          <w:szCs w:val="21"/>
          <w:highlight w:val="none"/>
        </w:rPr>
      </w:pPr>
      <w:bookmarkStart w:id="787" w:name="_Toc532377212"/>
      <w:bookmarkStart w:id="788" w:name="_Toc351203526"/>
      <w:r>
        <w:rPr>
          <w:rFonts w:hint="eastAsia"/>
          <w:color w:val="auto"/>
          <w:sz w:val="21"/>
          <w:szCs w:val="21"/>
          <w:highlight w:val="none"/>
        </w:rPr>
        <w:t>3.8 联合体</w:t>
      </w:r>
      <w:bookmarkEnd w:id="787"/>
      <w:bookmarkEnd w:id="788"/>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3.8.1 联合体各方应共同与发包人签订合同协议书。联合体各方应为履行合同向发包人承担连带责任。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3.8.2 联合体协议经发包人确认后作为合同附件。在履行合同过程中，未经发包人同意，不得修改联合体协议。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3.8.3 联合体牵头人负责与发包人和监理人联系，并接受指示，负责组织联合体各成员全面履行合同。</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89" w:name="_Toc532377213"/>
      <w:bookmarkStart w:id="790" w:name="_Toc532375590"/>
      <w:bookmarkStart w:id="791" w:name="_Toc351203527"/>
      <w:r>
        <w:rPr>
          <w:rFonts w:hint="eastAsia"/>
          <w:color w:val="auto"/>
          <w:kern w:val="2"/>
          <w:sz w:val="21"/>
          <w:szCs w:val="21"/>
          <w:highlight w:val="none"/>
        </w:rPr>
        <w:t>4</w:t>
      </w:r>
      <w:bookmarkStart w:id="792" w:name="_Toc296346554"/>
      <w:bookmarkStart w:id="793" w:name="_Toc296503053"/>
      <w:bookmarkStart w:id="794" w:name="_Toc337558753"/>
      <w:r>
        <w:rPr>
          <w:rFonts w:hint="eastAsia"/>
          <w:color w:val="auto"/>
          <w:kern w:val="2"/>
          <w:sz w:val="21"/>
          <w:szCs w:val="21"/>
          <w:highlight w:val="none"/>
        </w:rPr>
        <w:t>. 监</w:t>
      </w:r>
      <w:bookmarkEnd w:id="792"/>
      <w:bookmarkEnd w:id="793"/>
      <w:r>
        <w:rPr>
          <w:rFonts w:hint="eastAsia"/>
          <w:color w:val="auto"/>
          <w:kern w:val="2"/>
          <w:sz w:val="21"/>
          <w:szCs w:val="21"/>
          <w:highlight w:val="none"/>
        </w:rPr>
        <w:t>理人</w:t>
      </w:r>
      <w:bookmarkEnd w:id="789"/>
      <w:bookmarkEnd w:id="790"/>
      <w:bookmarkEnd w:id="791"/>
    </w:p>
    <w:bookmarkEnd w:id="794"/>
    <w:p>
      <w:pPr>
        <w:pStyle w:val="7"/>
        <w:spacing w:before="0" w:beforeAutospacing="0" w:after="0" w:afterAutospacing="0" w:line="360" w:lineRule="auto"/>
        <w:ind w:firstLine="422" w:firstLineChars="200"/>
        <w:rPr>
          <w:color w:val="auto"/>
          <w:sz w:val="21"/>
          <w:szCs w:val="21"/>
          <w:highlight w:val="none"/>
        </w:rPr>
      </w:pPr>
      <w:bookmarkStart w:id="795" w:name="_Toc532377214"/>
      <w:bookmarkStart w:id="796" w:name="_Toc351203528"/>
      <w:r>
        <w:rPr>
          <w:rFonts w:hint="eastAsia"/>
          <w:color w:val="auto"/>
          <w:sz w:val="21"/>
          <w:szCs w:val="21"/>
          <w:highlight w:val="none"/>
        </w:rPr>
        <w:t>4</w:t>
      </w:r>
      <w:bookmarkStart w:id="797" w:name="_Toc337558754"/>
      <w:bookmarkStart w:id="798" w:name="_Toc296503054"/>
      <w:bookmarkStart w:id="799" w:name="_Toc296346555"/>
      <w:r>
        <w:rPr>
          <w:rFonts w:hint="eastAsia"/>
          <w:color w:val="auto"/>
          <w:sz w:val="21"/>
          <w:szCs w:val="21"/>
          <w:highlight w:val="none"/>
        </w:rPr>
        <w:t>.1监理人的一般规定</w:t>
      </w:r>
      <w:bookmarkEnd w:id="795"/>
      <w:bookmarkEnd w:id="796"/>
    </w:p>
    <w:bookmarkEnd w:id="797"/>
    <w:bookmarkEnd w:id="798"/>
    <w:bookmarkEnd w:id="79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除专用合同条款另有约定外，监理人在施工现场的办公场所、生活场所由承包人提供，所发生的费用由发包人承担。</w:t>
      </w:r>
    </w:p>
    <w:p>
      <w:pPr>
        <w:pStyle w:val="7"/>
        <w:spacing w:before="0" w:beforeAutospacing="0" w:after="0" w:afterAutospacing="0" w:line="360" w:lineRule="auto"/>
        <w:ind w:firstLine="422" w:firstLineChars="200"/>
        <w:rPr>
          <w:color w:val="auto"/>
          <w:sz w:val="21"/>
          <w:szCs w:val="21"/>
          <w:highlight w:val="none"/>
        </w:rPr>
      </w:pPr>
      <w:bookmarkStart w:id="800" w:name="_Toc532377215"/>
      <w:bookmarkStart w:id="801" w:name="_Toc351203529"/>
      <w:r>
        <w:rPr>
          <w:rFonts w:hint="eastAsia"/>
          <w:color w:val="auto"/>
          <w:sz w:val="21"/>
          <w:szCs w:val="21"/>
          <w:highlight w:val="none"/>
        </w:rPr>
        <w:t>4</w:t>
      </w:r>
      <w:bookmarkStart w:id="802" w:name="_Toc337558755"/>
      <w:r>
        <w:rPr>
          <w:rFonts w:hint="eastAsia"/>
          <w:color w:val="auto"/>
          <w:sz w:val="21"/>
          <w:szCs w:val="21"/>
          <w:highlight w:val="none"/>
        </w:rPr>
        <w:t>.2监理人员</w:t>
      </w:r>
      <w:bookmarkEnd w:id="800"/>
      <w:bookmarkEnd w:id="801"/>
    </w:p>
    <w:bookmarkEnd w:id="80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beforeAutospacing="0" w:after="0" w:afterAutospacing="0" w:line="360" w:lineRule="auto"/>
        <w:ind w:firstLine="422" w:firstLineChars="200"/>
        <w:rPr>
          <w:color w:val="auto"/>
          <w:sz w:val="21"/>
          <w:szCs w:val="21"/>
          <w:highlight w:val="none"/>
        </w:rPr>
      </w:pPr>
      <w:bookmarkStart w:id="803" w:name="_Toc532377216"/>
      <w:bookmarkStart w:id="804" w:name="_Toc351203530"/>
      <w:r>
        <w:rPr>
          <w:rFonts w:hint="eastAsia"/>
          <w:color w:val="auto"/>
          <w:sz w:val="21"/>
          <w:szCs w:val="21"/>
          <w:highlight w:val="none"/>
        </w:rPr>
        <w:t>4</w:t>
      </w:r>
      <w:bookmarkStart w:id="805" w:name="_Toc296346556"/>
      <w:bookmarkStart w:id="806" w:name="_Toc296503055"/>
      <w:bookmarkStart w:id="807" w:name="_Toc337558756"/>
      <w:r>
        <w:rPr>
          <w:rFonts w:hint="eastAsia"/>
          <w:color w:val="auto"/>
          <w:sz w:val="21"/>
          <w:szCs w:val="21"/>
          <w:highlight w:val="none"/>
        </w:rPr>
        <w:t>.3</w:t>
      </w:r>
      <w:bookmarkEnd w:id="805"/>
      <w:bookmarkEnd w:id="806"/>
      <w:r>
        <w:rPr>
          <w:rFonts w:hint="eastAsia"/>
          <w:color w:val="auto"/>
          <w:sz w:val="21"/>
          <w:szCs w:val="21"/>
          <w:highlight w:val="none"/>
        </w:rPr>
        <w:t>监理人的指</w:t>
      </w:r>
      <w:bookmarkEnd w:id="807"/>
      <w:r>
        <w:rPr>
          <w:rFonts w:hint="eastAsia"/>
          <w:color w:val="auto"/>
          <w:sz w:val="21"/>
          <w:szCs w:val="21"/>
          <w:highlight w:val="none"/>
        </w:rPr>
        <w:t>示</w:t>
      </w:r>
      <w:bookmarkEnd w:id="803"/>
      <w:bookmarkEnd w:id="804"/>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beforeAutospacing="0" w:after="0" w:afterAutospacing="0" w:line="360" w:lineRule="auto"/>
        <w:ind w:firstLine="422" w:firstLineChars="200"/>
        <w:rPr>
          <w:color w:val="auto"/>
          <w:sz w:val="21"/>
          <w:szCs w:val="21"/>
          <w:highlight w:val="none"/>
        </w:rPr>
      </w:pPr>
      <w:bookmarkStart w:id="808" w:name="_Toc351203531"/>
      <w:bookmarkStart w:id="809" w:name="_Toc532377217"/>
      <w:r>
        <w:rPr>
          <w:rFonts w:hint="eastAsia"/>
          <w:color w:val="auto"/>
          <w:sz w:val="21"/>
          <w:szCs w:val="21"/>
          <w:highlight w:val="none"/>
        </w:rPr>
        <w:t>4</w:t>
      </w:r>
      <w:bookmarkStart w:id="810" w:name="_Toc337558757"/>
      <w:bookmarkStart w:id="811" w:name="_Toc296503057"/>
      <w:bookmarkStart w:id="812" w:name="_Toc296346558"/>
      <w:r>
        <w:rPr>
          <w:rFonts w:hint="eastAsia"/>
          <w:color w:val="auto"/>
          <w:sz w:val="21"/>
          <w:szCs w:val="21"/>
          <w:highlight w:val="none"/>
        </w:rPr>
        <w:t>.4 商定或确定</w:t>
      </w:r>
      <w:bookmarkEnd w:id="808"/>
      <w:bookmarkEnd w:id="809"/>
    </w:p>
    <w:bookmarkEnd w:id="810"/>
    <w:bookmarkEnd w:id="811"/>
    <w:bookmarkEnd w:id="81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13" w:name="_Toc351203532"/>
      <w:bookmarkStart w:id="814" w:name="_Toc532375591"/>
      <w:bookmarkStart w:id="815" w:name="_Toc532377218"/>
      <w:r>
        <w:rPr>
          <w:rFonts w:hint="eastAsia"/>
          <w:color w:val="auto"/>
          <w:kern w:val="2"/>
          <w:sz w:val="21"/>
          <w:szCs w:val="21"/>
          <w:highlight w:val="none"/>
        </w:rPr>
        <w:t>5</w:t>
      </w:r>
      <w:bookmarkStart w:id="816" w:name="_Toc337558758"/>
      <w:r>
        <w:rPr>
          <w:rFonts w:hint="eastAsia"/>
          <w:color w:val="auto"/>
          <w:kern w:val="2"/>
          <w:sz w:val="21"/>
          <w:szCs w:val="21"/>
          <w:highlight w:val="none"/>
        </w:rPr>
        <w:t>. 工程质量</w:t>
      </w:r>
      <w:bookmarkEnd w:id="813"/>
      <w:bookmarkEnd w:id="814"/>
      <w:bookmarkEnd w:id="815"/>
    </w:p>
    <w:bookmarkEnd w:id="816"/>
    <w:p>
      <w:pPr>
        <w:pStyle w:val="7"/>
        <w:spacing w:before="0" w:beforeAutospacing="0" w:after="0" w:afterAutospacing="0" w:line="360" w:lineRule="auto"/>
        <w:ind w:firstLine="422" w:firstLineChars="200"/>
        <w:rPr>
          <w:color w:val="auto"/>
          <w:sz w:val="21"/>
          <w:szCs w:val="21"/>
          <w:highlight w:val="none"/>
        </w:rPr>
      </w:pPr>
      <w:bookmarkStart w:id="817" w:name="_Toc532377219"/>
      <w:bookmarkStart w:id="818" w:name="_Toc351203533"/>
      <w:r>
        <w:rPr>
          <w:rFonts w:hint="eastAsia"/>
          <w:color w:val="auto"/>
          <w:sz w:val="21"/>
          <w:szCs w:val="21"/>
          <w:highlight w:val="none"/>
        </w:rPr>
        <w:t>5</w:t>
      </w:r>
      <w:bookmarkStart w:id="819" w:name="_Toc337558759"/>
      <w:r>
        <w:rPr>
          <w:rFonts w:hint="eastAsia"/>
          <w:color w:val="auto"/>
          <w:sz w:val="21"/>
          <w:szCs w:val="21"/>
          <w:highlight w:val="none"/>
        </w:rPr>
        <w:t>.1质量要求</w:t>
      </w:r>
      <w:bookmarkEnd w:id="817"/>
      <w:bookmarkEnd w:id="818"/>
    </w:p>
    <w:bookmarkEnd w:id="81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5.1.2 因发包人原因造成工程质量未达到合同约定标准的，由发包人承担由此增加的费用和（或）延误的工期，并支付承包人合理的利润。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pPr>
        <w:pStyle w:val="7"/>
        <w:spacing w:before="0" w:beforeAutospacing="0" w:after="0" w:afterAutospacing="0" w:line="360" w:lineRule="auto"/>
        <w:ind w:firstLine="422" w:firstLineChars="200"/>
        <w:rPr>
          <w:color w:val="auto"/>
          <w:sz w:val="21"/>
          <w:szCs w:val="21"/>
          <w:highlight w:val="none"/>
        </w:rPr>
      </w:pPr>
      <w:bookmarkStart w:id="820" w:name="_Toc532377220"/>
      <w:bookmarkStart w:id="821" w:name="_Toc351203534"/>
      <w:r>
        <w:rPr>
          <w:rFonts w:hint="eastAsia"/>
          <w:color w:val="auto"/>
          <w:sz w:val="21"/>
          <w:szCs w:val="21"/>
          <w:highlight w:val="none"/>
        </w:rPr>
        <w:t>5</w:t>
      </w:r>
      <w:bookmarkStart w:id="822" w:name="_Toc337558760"/>
      <w:r>
        <w:rPr>
          <w:rFonts w:hint="eastAsia"/>
          <w:color w:val="auto"/>
          <w:sz w:val="21"/>
          <w:szCs w:val="21"/>
          <w:highlight w:val="none"/>
        </w:rPr>
        <w:t>.2质量保证措施</w:t>
      </w:r>
      <w:bookmarkEnd w:id="820"/>
      <w:bookmarkEnd w:id="821"/>
    </w:p>
    <w:bookmarkEnd w:id="82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5.2.1 发包人的质量管理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发包人应按照法律规定及合同约定完成与工程质量有关的各项工作。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5.2.2 承包人的质量管理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承包人应对施工人员进行质量教育和技术培训，定期考核施工人员的劳动技能，严格执行施工规范和操作规程。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5.2.3 监理人的质量检查和检验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beforeAutospacing="0" w:after="0" w:afterAutospacing="0" w:line="360" w:lineRule="auto"/>
        <w:ind w:firstLine="422" w:firstLineChars="200"/>
        <w:rPr>
          <w:color w:val="auto"/>
          <w:sz w:val="21"/>
          <w:szCs w:val="21"/>
          <w:highlight w:val="none"/>
        </w:rPr>
      </w:pPr>
      <w:bookmarkStart w:id="823" w:name="_Toc351203535"/>
      <w:bookmarkStart w:id="824" w:name="_Toc532377221"/>
      <w:r>
        <w:rPr>
          <w:rFonts w:hint="eastAsia"/>
          <w:color w:val="auto"/>
          <w:sz w:val="21"/>
          <w:szCs w:val="21"/>
          <w:highlight w:val="none"/>
        </w:rPr>
        <w:t>5</w:t>
      </w:r>
      <w:bookmarkStart w:id="825" w:name="_Toc337558761"/>
      <w:r>
        <w:rPr>
          <w:rFonts w:hint="eastAsia"/>
          <w:color w:val="auto"/>
          <w:sz w:val="21"/>
          <w:szCs w:val="21"/>
          <w:highlight w:val="none"/>
        </w:rPr>
        <w:t>.3 隐蔽工程检查</w:t>
      </w:r>
      <w:bookmarkEnd w:id="823"/>
      <w:bookmarkEnd w:id="824"/>
    </w:p>
    <w:bookmarkEnd w:id="825"/>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5.3.1承包人自检</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承包人应当对工程隐蔽部位进行自检，并经自检确认是否具备覆盖条件。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5.3.2检查程序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5.3.3 重新检查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5.3.4 承包人私自覆盖</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beforeAutospacing="0" w:after="0" w:afterAutospacing="0" w:line="360" w:lineRule="auto"/>
        <w:ind w:firstLine="422" w:firstLineChars="200"/>
        <w:rPr>
          <w:color w:val="auto"/>
          <w:sz w:val="21"/>
          <w:szCs w:val="21"/>
          <w:highlight w:val="none"/>
        </w:rPr>
      </w:pPr>
      <w:bookmarkStart w:id="826" w:name="_Toc532377222"/>
      <w:r>
        <w:rPr>
          <w:rFonts w:hint="eastAsia"/>
          <w:color w:val="auto"/>
          <w:sz w:val="21"/>
          <w:szCs w:val="21"/>
          <w:highlight w:val="none"/>
        </w:rPr>
        <w:t>5.4不合格工程的处理</w:t>
      </w:r>
      <w:bookmarkEnd w:id="826"/>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5.4.2 因发包人原因造成工程不合格的，由此增加的费用和（或）延误的工期由发包人承担，并支付承包人合理的利润。</w:t>
      </w:r>
    </w:p>
    <w:p>
      <w:pPr>
        <w:pStyle w:val="7"/>
        <w:spacing w:before="0" w:beforeAutospacing="0" w:after="0" w:afterAutospacing="0" w:line="360" w:lineRule="auto"/>
        <w:ind w:firstLine="422" w:firstLineChars="200"/>
        <w:rPr>
          <w:color w:val="auto"/>
          <w:sz w:val="21"/>
          <w:szCs w:val="21"/>
          <w:highlight w:val="none"/>
        </w:rPr>
      </w:pPr>
      <w:bookmarkStart w:id="827" w:name="_Toc532377223"/>
      <w:bookmarkStart w:id="828" w:name="_Toc351203537"/>
      <w:r>
        <w:rPr>
          <w:rFonts w:hint="eastAsia"/>
          <w:color w:val="auto"/>
          <w:sz w:val="21"/>
          <w:szCs w:val="21"/>
          <w:highlight w:val="none"/>
        </w:rPr>
        <w:t>5.5 质量争议检测</w:t>
      </w:r>
      <w:bookmarkEnd w:id="827"/>
      <w:bookmarkEnd w:id="828"/>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合同当事人对工程质量有争议的，由双方协商确定的工程质量检测机构鉴定，由此产生的费用及因此造成的损失，由责任方承担。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合同当事人均有责任的，由双方根据其责任分别承担。合同当事人无法达成一致的，按照第4.4款〔商定或确定〕执行。</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29" w:name="_Toc351203538"/>
      <w:bookmarkStart w:id="830" w:name="_Toc532377224"/>
      <w:bookmarkStart w:id="831" w:name="_Toc532375592"/>
      <w:r>
        <w:rPr>
          <w:rFonts w:hint="eastAsia"/>
          <w:color w:val="auto"/>
          <w:kern w:val="2"/>
          <w:sz w:val="21"/>
          <w:szCs w:val="21"/>
          <w:highlight w:val="none"/>
        </w:rPr>
        <w:t>6</w:t>
      </w:r>
      <w:bookmarkStart w:id="832" w:name="_Toc337558763"/>
      <w:r>
        <w:rPr>
          <w:rFonts w:hint="eastAsia"/>
          <w:color w:val="auto"/>
          <w:kern w:val="2"/>
          <w:sz w:val="21"/>
          <w:szCs w:val="21"/>
          <w:highlight w:val="none"/>
        </w:rPr>
        <w:t>. 安全文明施工与环境保护</w:t>
      </w:r>
      <w:bookmarkEnd w:id="829"/>
      <w:bookmarkEnd w:id="830"/>
      <w:bookmarkEnd w:id="831"/>
    </w:p>
    <w:bookmarkEnd w:id="832"/>
    <w:p>
      <w:pPr>
        <w:pStyle w:val="7"/>
        <w:spacing w:before="0" w:beforeAutospacing="0" w:after="0" w:afterAutospacing="0" w:line="360" w:lineRule="auto"/>
        <w:ind w:firstLine="422" w:firstLineChars="200"/>
        <w:rPr>
          <w:color w:val="auto"/>
          <w:sz w:val="21"/>
          <w:szCs w:val="21"/>
          <w:highlight w:val="none"/>
        </w:rPr>
      </w:pPr>
      <w:bookmarkStart w:id="833" w:name="_Toc351203539"/>
      <w:bookmarkStart w:id="834" w:name="_Toc532377225"/>
      <w:r>
        <w:rPr>
          <w:rFonts w:hint="eastAsia"/>
          <w:color w:val="auto"/>
          <w:sz w:val="21"/>
          <w:szCs w:val="21"/>
          <w:highlight w:val="none"/>
        </w:rPr>
        <w:t>6</w:t>
      </w:r>
      <w:bookmarkStart w:id="835" w:name="_Toc337558764"/>
      <w:r>
        <w:rPr>
          <w:rFonts w:hint="eastAsia"/>
          <w:color w:val="auto"/>
          <w:sz w:val="21"/>
          <w:szCs w:val="21"/>
          <w:highlight w:val="none"/>
        </w:rPr>
        <w:t>.1安全文明施工</w:t>
      </w:r>
      <w:bookmarkEnd w:id="833"/>
      <w:bookmarkEnd w:id="834"/>
    </w:p>
    <w:bookmarkEnd w:id="835"/>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6.1.1安全生产要求</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因安全生产需要暂停施工的，按照第7.8款〔暂停施工〕的约定执行。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6.1.2 安全生产保证措施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6.1.3特别安全生产事项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6.1.4 治安保卫</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发包人和承包人除应协助现场治安管理机构或联防组织维护施工场地的社会治安外，还应做好包括生活区在内的各自管辖区的治安保卫工作。</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6.1.5 文明施工</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6.1.6 安全文明施工费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6.1.7 紧急情况处理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6.1.8 事故处理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 安全生产责任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6.1.9.1 发包人的安全责任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发包人应负责赔偿以下各种情况造成的损失：</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（1）工程或工程的任何部分对土地的占用所造成的第三者财产损失；</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（2）由于发包人原因在施工场地及其毗邻地带造成的第三者人身伤亡和财产损失；</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（3）由于发包人原因对承包人、监理人造成的人员人身伤亡和财产损失；</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（4）由于发包人原因造成的发包人自身人员的人身伤害以及财产损失。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6.1.9.2 承包人的安全责任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由于承包人原因在施工场地内及其毗邻地带造成的发包人、监理人以及第三者人员伤亡和财产损失，由承包人负责赔偿。</w:t>
      </w:r>
    </w:p>
    <w:p>
      <w:pPr>
        <w:pStyle w:val="7"/>
        <w:spacing w:before="0" w:beforeAutospacing="0" w:after="0" w:afterAutospacing="0" w:line="360" w:lineRule="auto"/>
        <w:ind w:firstLine="422" w:firstLineChars="200"/>
        <w:rPr>
          <w:color w:val="auto"/>
          <w:sz w:val="21"/>
          <w:szCs w:val="21"/>
          <w:highlight w:val="none"/>
        </w:rPr>
      </w:pPr>
      <w:bookmarkStart w:id="836" w:name="_Toc351203540"/>
      <w:bookmarkStart w:id="837" w:name="_Toc532377226"/>
      <w:r>
        <w:rPr>
          <w:rFonts w:hint="eastAsia"/>
          <w:color w:val="auto"/>
          <w:sz w:val="21"/>
          <w:szCs w:val="21"/>
          <w:highlight w:val="none"/>
        </w:rPr>
        <w:t>6</w:t>
      </w:r>
      <w:bookmarkStart w:id="838" w:name="_Toc337558765"/>
      <w:r>
        <w:rPr>
          <w:rFonts w:hint="eastAsia"/>
          <w:color w:val="auto"/>
          <w:sz w:val="21"/>
          <w:szCs w:val="21"/>
          <w:highlight w:val="none"/>
        </w:rPr>
        <w:t>.2 职业健康</w:t>
      </w:r>
      <w:bookmarkEnd w:id="836"/>
      <w:bookmarkEnd w:id="837"/>
    </w:p>
    <w:bookmarkEnd w:id="83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6.2.1 劳动保护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6.2.2 生活条件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beforeAutospacing="0" w:after="0" w:afterAutospacing="0" w:line="360" w:lineRule="auto"/>
        <w:ind w:firstLine="422" w:firstLineChars="200"/>
        <w:rPr>
          <w:color w:val="auto"/>
          <w:sz w:val="21"/>
          <w:szCs w:val="21"/>
          <w:highlight w:val="none"/>
        </w:rPr>
      </w:pPr>
      <w:bookmarkStart w:id="839" w:name="_Toc532377227"/>
      <w:bookmarkStart w:id="840" w:name="_Toc351203541"/>
      <w:r>
        <w:rPr>
          <w:rFonts w:hint="eastAsia"/>
          <w:color w:val="auto"/>
          <w:sz w:val="21"/>
          <w:szCs w:val="21"/>
          <w:highlight w:val="none"/>
        </w:rPr>
        <w:t>6</w:t>
      </w:r>
      <w:bookmarkStart w:id="841" w:name="_Toc337558766"/>
      <w:r>
        <w:rPr>
          <w:rFonts w:hint="eastAsia"/>
          <w:color w:val="auto"/>
          <w:sz w:val="21"/>
          <w:szCs w:val="21"/>
          <w:highlight w:val="none"/>
        </w:rPr>
        <w:t>.3 环境保护</w:t>
      </w:r>
      <w:bookmarkEnd w:id="839"/>
      <w:bookmarkEnd w:id="840"/>
    </w:p>
    <w:bookmarkEnd w:id="841"/>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42" w:name="_Toc351203542"/>
      <w:bookmarkStart w:id="843" w:name="_Toc532375593"/>
      <w:bookmarkStart w:id="844" w:name="_Toc532377228"/>
      <w:r>
        <w:rPr>
          <w:rFonts w:hint="eastAsia"/>
          <w:color w:val="auto"/>
          <w:kern w:val="2"/>
          <w:sz w:val="21"/>
          <w:szCs w:val="21"/>
          <w:highlight w:val="none"/>
        </w:rPr>
        <w:t>7</w:t>
      </w:r>
      <w:bookmarkStart w:id="845" w:name="_Toc337558767"/>
      <w:r>
        <w:rPr>
          <w:rFonts w:hint="eastAsia"/>
          <w:color w:val="auto"/>
          <w:kern w:val="2"/>
          <w:sz w:val="21"/>
          <w:szCs w:val="21"/>
          <w:highlight w:val="none"/>
        </w:rPr>
        <w:t>. 工期和进度</w:t>
      </w:r>
      <w:bookmarkEnd w:id="842"/>
      <w:bookmarkEnd w:id="843"/>
      <w:bookmarkEnd w:id="844"/>
    </w:p>
    <w:bookmarkEnd w:id="845"/>
    <w:p>
      <w:pPr>
        <w:pStyle w:val="7"/>
        <w:spacing w:before="0" w:beforeAutospacing="0" w:after="0" w:afterAutospacing="0" w:line="360" w:lineRule="auto"/>
        <w:ind w:firstLine="422" w:firstLineChars="200"/>
        <w:rPr>
          <w:color w:val="auto"/>
          <w:sz w:val="21"/>
          <w:szCs w:val="21"/>
          <w:highlight w:val="none"/>
        </w:rPr>
      </w:pPr>
      <w:bookmarkStart w:id="846" w:name="_Toc351203543"/>
      <w:bookmarkStart w:id="847" w:name="_Toc532377229"/>
      <w:r>
        <w:rPr>
          <w:rFonts w:hint="eastAsia"/>
          <w:color w:val="auto"/>
          <w:sz w:val="21"/>
          <w:szCs w:val="21"/>
          <w:highlight w:val="none"/>
        </w:rPr>
        <w:t>7</w:t>
      </w:r>
      <w:bookmarkStart w:id="848" w:name="_Toc337558768"/>
      <w:bookmarkStart w:id="849" w:name="_Toc296346567"/>
      <w:bookmarkStart w:id="850" w:name="_Toc296503066"/>
      <w:r>
        <w:rPr>
          <w:rFonts w:hint="eastAsia"/>
          <w:color w:val="auto"/>
          <w:sz w:val="21"/>
          <w:szCs w:val="21"/>
          <w:highlight w:val="none"/>
        </w:rPr>
        <w:t>.1施工组织设计</w:t>
      </w:r>
      <w:bookmarkEnd w:id="846"/>
      <w:bookmarkEnd w:id="847"/>
    </w:p>
    <w:bookmarkEnd w:id="84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7.1.1 施工组织设计的内容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施工组织设计应包含以下内容：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（1）施工方案；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（2）施工现场平面布置图；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（3）施工进度计划和保证措施；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（4）劳动力及材料供应计划；</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（5）施工机械设备的选用；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（6）质量保证体系及措施；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（7）安全生产、文明施工措施；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（8）环境保护、成本控制措施；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（9）合同当事人约定的其他内容。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7.1.2 施工组织设计的提交和修改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施工进度计划的编制和修改按照第7.2款〔施工进度计划〕执行。</w:t>
      </w:r>
    </w:p>
    <w:p>
      <w:pPr>
        <w:pStyle w:val="7"/>
        <w:spacing w:before="0" w:beforeAutospacing="0" w:after="0" w:afterAutospacing="0" w:line="360" w:lineRule="auto"/>
        <w:ind w:firstLine="422" w:firstLineChars="200"/>
        <w:rPr>
          <w:color w:val="auto"/>
          <w:sz w:val="21"/>
          <w:szCs w:val="21"/>
          <w:highlight w:val="none"/>
        </w:rPr>
      </w:pPr>
      <w:bookmarkStart w:id="851" w:name="_Toc351203544"/>
      <w:bookmarkStart w:id="852" w:name="_Toc532377230"/>
      <w:r>
        <w:rPr>
          <w:rFonts w:hint="eastAsia"/>
          <w:color w:val="auto"/>
          <w:sz w:val="21"/>
          <w:szCs w:val="21"/>
          <w:highlight w:val="none"/>
        </w:rPr>
        <w:t>7</w:t>
      </w:r>
      <w:bookmarkStart w:id="853" w:name="_Toc337558769"/>
      <w:r>
        <w:rPr>
          <w:rFonts w:hint="eastAsia"/>
          <w:color w:val="auto"/>
          <w:sz w:val="21"/>
          <w:szCs w:val="21"/>
          <w:highlight w:val="none"/>
        </w:rPr>
        <w:t>.2 施工进度计划</w:t>
      </w:r>
      <w:bookmarkEnd w:id="851"/>
      <w:bookmarkEnd w:id="852"/>
    </w:p>
    <w:bookmarkEnd w:id="85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7.2.1 施工进度计划的编制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7.2.2 施工进度计划的修订</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beforeAutospacing="0" w:after="0" w:afterAutospacing="0" w:line="360" w:lineRule="auto"/>
        <w:ind w:firstLine="422" w:firstLineChars="200"/>
        <w:rPr>
          <w:color w:val="auto"/>
          <w:sz w:val="21"/>
          <w:szCs w:val="21"/>
          <w:highlight w:val="none"/>
        </w:rPr>
      </w:pPr>
      <w:bookmarkStart w:id="854" w:name="_Toc532377231"/>
      <w:bookmarkStart w:id="855" w:name="_Toc351203545"/>
      <w:r>
        <w:rPr>
          <w:rFonts w:hint="eastAsia"/>
          <w:color w:val="auto"/>
          <w:sz w:val="21"/>
          <w:szCs w:val="21"/>
          <w:highlight w:val="none"/>
        </w:rPr>
        <w:t>7</w:t>
      </w:r>
      <w:bookmarkStart w:id="856" w:name="_Toc337558770"/>
      <w:r>
        <w:rPr>
          <w:rFonts w:hint="eastAsia"/>
          <w:color w:val="auto"/>
          <w:sz w:val="21"/>
          <w:szCs w:val="21"/>
          <w:highlight w:val="none"/>
        </w:rPr>
        <w:t>.3 开工</w:t>
      </w:r>
      <w:bookmarkEnd w:id="854"/>
      <w:bookmarkEnd w:id="855"/>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7.3.1 开工准备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除专用合同条款另有约定外，合同当事人应按约定完成开工准备工作。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7.3.2 开工通知</w:t>
      </w:r>
    </w:p>
    <w:bookmarkEnd w:id="85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beforeAutospacing="0" w:after="0" w:afterAutospacing="0" w:line="360" w:lineRule="auto"/>
        <w:ind w:firstLine="422" w:firstLineChars="200"/>
        <w:rPr>
          <w:color w:val="auto"/>
          <w:sz w:val="21"/>
          <w:szCs w:val="21"/>
          <w:highlight w:val="none"/>
        </w:rPr>
      </w:pPr>
      <w:bookmarkStart w:id="857" w:name="_Toc532377232"/>
      <w:bookmarkStart w:id="858" w:name="_Toc351203546"/>
      <w:r>
        <w:rPr>
          <w:rFonts w:hint="eastAsia"/>
          <w:color w:val="auto"/>
          <w:sz w:val="21"/>
          <w:szCs w:val="21"/>
          <w:highlight w:val="none"/>
        </w:rPr>
        <w:t>7.4测量放线</w:t>
      </w:r>
      <w:bookmarkEnd w:id="857"/>
      <w:bookmarkEnd w:id="858"/>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施工过程中对施工现场内水准点等测量标志物的保护工作由承包人负责。</w:t>
      </w:r>
      <w:bookmarkStart w:id="859" w:name="_Toc351203547"/>
    </w:p>
    <w:p>
      <w:pPr>
        <w:pStyle w:val="7"/>
        <w:spacing w:before="0" w:beforeAutospacing="0" w:after="0" w:afterAutospacing="0" w:line="360" w:lineRule="auto"/>
        <w:ind w:firstLine="422" w:firstLineChars="200"/>
        <w:rPr>
          <w:color w:val="auto"/>
          <w:sz w:val="21"/>
          <w:szCs w:val="21"/>
          <w:highlight w:val="none"/>
        </w:rPr>
      </w:pPr>
      <w:bookmarkStart w:id="860" w:name="_Toc532377233"/>
      <w:r>
        <w:rPr>
          <w:rFonts w:hint="eastAsia"/>
          <w:color w:val="auto"/>
          <w:sz w:val="21"/>
          <w:szCs w:val="21"/>
          <w:highlight w:val="none"/>
        </w:rPr>
        <w:t>7</w:t>
      </w:r>
      <w:bookmarkEnd w:id="849"/>
      <w:bookmarkEnd w:id="850"/>
      <w:bookmarkStart w:id="861" w:name="_Toc296346574"/>
      <w:bookmarkStart w:id="862" w:name="_Toc337558772"/>
      <w:bookmarkStart w:id="863" w:name="_Toc296503073"/>
      <w:r>
        <w:rPr>
          <w:rFonts w:hint="eastAsia"/>
          <w:color w:val="auto"/>
          <w:sz w:val="21"/>
          <w:szCs w:val="21"/>
          <w:highlight w:val="none"/>
        </w:rPr>
        <w:t>.5 工期延误</w:t>
      </w:r>
      <w:bookmarkEnd w:id="859"/>
      <w:bookmarkEnd w:id="860"/>
    </w:p>
    <w:bookmarkEnd w:id="861"/>
    <w:bookmarkEnd w:id="862"/>
    <w:bookmarkEnd w:id="863"/>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7.5.1 因发包人原因导致工期延误</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（1）发包人未能按合同约定提供图纸或所提供图纸不符合合同约定的；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（2）发包人未能按合同约定提供施工现场、施工条件、基础资料、许可、批准等开工条件的；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（3）发包人提供的测量基准点、基准线和水准点及其书面资料存在错误或疏漏的；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（4）发包人未能在计划开工日期之日起7天内同意下达开工通知的；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（5）发包人未能按合同约定日期支付工程预付款、进度款或竣工结算款的；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（6）监理人未按合同约定发出指示、批准等文件的；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（7）专用合同条款中约定的其他情形。</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7.5.2 因承包人原因导致工期延误</w:t>
      </w:r>
    </w:p>
    <w:p>
      <w:pPr>
        <w:autoSpaceDE w:val="0"/>
        <w:autoSpaceDN w:val="0"/>
        <w:spacing w:line="360" w:lineRule="auto"/>
        <w:ind w:firstLine="420" w:firstLineChars="200"/>
        <w:jc w:val="left"/>
        <w:rPr>
          <w:rFonts w:ascii="宋体" w:hAnsi="宋体"/>
          <w:color w:val="auto"/>
          <w:kern w:val="0"/>
          <w:szCs w:val="21"/>
          <w:highlight w:val="none"/>
        </w:rPr>
      </w:pPr>
      <w:bookmarkStart w:id="864" w:name="_Toc296503076"/>
      <w:bookmarkStart w:id="865" w:name="_Toc296346577"/>
      <w:r>
        <w:rPr>
          <w:rFonts w:hint="eastAsia" w:ascii="宋体" w:hAnsi="宋体"/>
          <w:color w:val="auto"/>
          <w:kern w:val="0"/>
          <w:szCs w:val="21"/>
          <w:highlight w:val="none"/>
        </w:rPr>
        <w:t>因</w:t>
      </w:r>
      <w:bookmarkEnd w:id="864"/>
      <w:bookmarkEnd w:id="865"/>
      <w:r>
        <w:rPr>
          <w:rFonts w:hint="eastAsia" w:ascii="宋体" w:hAnsi="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beforeAutospacing="0" w:after="0" w:afterAutospacing="0" w:line="360" w:lineRule="auto"/>
        <w:ind w:firstLine="422" w:firstLineChars="200"/>
        <w:rPr>
          <w:color w:val="auto"/>
          <w:sz w:val="21"/>
          <w:szCs w:val="21"/>
          <w:highlight w:val="none"/>
        </w:rPr>
      </w:pPr>
      <w:bookmarkStart w:id="866" w:name="_Toc532377234"/>
      <w:bookmarkStart w:id="867" w:name="_Toc351203548"/>
      <w:r>
        <w:rPr>
          <w:rFonts w:hint="eastAsia"/>
          <w:color w:val="auto"/>
          <w:sz w:val="21"/>
          <w:szCs w:val="21"/>
          <w:highlight w:val="none"/>
        </w:rPr>
        <w:t>7</w:t>
      </w:r>
      <w:bookmarkStart w:id="868" w:name="_Toc337558773"/>
      <w:bookmarkStart w:id="869" w:name="_Toc296503074"/>
      <w:bookmarkStart w:id="870" w:name="_Toc296346575"/>
      <w:bookmarkStart w:id="871" w:name="_Toc296503077"/>
      <w:bookmarkStart w:id="872" w:name="_Toc296346578"/>
      <w:r>
        <w:rPr>
          <w:rFonts w:hint="eastAsia"/>
          <w:color w:val="auto"/>
          <w:sz w:val="21"/>
          <w:szCs w:val="21"/>
          <w:highlight w:val="none"/>
        </w:rPr>
        <w:t>.6 不利物质条件</w:t>
      </w:r>
      <w:bookmarkEnd w:id="866"/>
      <w:bookmarkEnd w:id="867"/>
    </w:p>
    <w:bookmarkEnd w:id="868"/>
    <w:bookmarkEnd w:id="869"/>
    <w:bookmarkEnd w:id="870"/>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beforeAutospacing="0" w:after="0" w:afterAutospacing="0" w:line="360" w:lineRule="auto"/>
        <w:ind w:firstLine="422" w:firstLineChars="200"/>
        <w:rPr>
          <w:color w:val="auto"/>
          <w:sz w:val="21"/>
          <w:szCs w:val="21"/>
          <w:highlight w:val="none"/>
        </w:rPr>
      </w:pPr>
      <w:bookmarkStart w:id="873" w:name="_Toc351203549"/>
      <w:bookmarkStart w:id="874" w:name="_Toc532377235"/>
      <w:r>
        <w:rPr>
          <w:rFonts w:hint="eastAsia"/>
          <w:color w:val="auto"/>
          <w:sz w:val="21"/>
          <w:szCs w:val="21"/>
          <w:highlight w:val="none"/>
        </w:rPr>
        <w:t>7</w:t>
      </w:r>
      <w:bookmarkStart w:id="875" w:name="_Toc296346576"/>
      <w:bookmarkStart w:id="876" w:name="_Toc296503075"/>
      <w:bookmarkStart w:id="877" w:name="_Toc337558774"/>
      <w:r>
        <w:rPr>
          <w:rFonts w:hint="eastAsia"/>
          <w:color w:val="auto"/>
          <w:sz w:val="21"/>
          <w:szCs w:val="21"/>
          <w:highlight w:val="none"/>
        </w:rPr>
        <w:t>.7 异常恶劣的气候条件</w:t>
      </w:r>
      <w:bookmarkEnd w:id="873"/>
      <w:bookmarkEnd w:id="874"/>
    </w:p>
    <w:bookmarkEnd w:id="875"/>
    <w:bookmarkEnd w:id="876"/>
    <w:bookmarkEnd w:id="877"/>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78" w:name="_Toc351203550"/>
    </w:p>
    <w:p>
      <w:pPr>
        <w:pStyle w:val="7"/>
        <w:spacing w:before="0" w:beforeAutospacing="0" w:after="0" w:afterAutospacing="0" w:line="360" w:lineRule="auto"/>
        <w:ind w:firstLine="422" w:firstLineChars="200"/>
        <w:rPr>
          <w:color w:val="auto"/>
          <w:sz w:val="21"/>
          <w:szCs w:val="21"/>
          <w:highlight w:val="none"/>
        </w:rPr>
      </w:pPr>
      <w:bookmarkStart w:id="879" w:name="_Toc532377236"/>
      <w:r>
        <w:rPr>
          <w:rFonts w:hint="eastAsia"/>
          <w:color w:val="auto"/>
          <w:sz w:val="21"/>
          <w:szCs w:val="21"/>
          <w:highlight w:val="none"/>
        </w:rPr>
        <w:t>7</w:t>
      </w:r>
      <w:bookmarkStart w:id="880" w:name="_Toc337558775"/>
      <w:r>
        <w:rPr>
          <w:rFonts w:hint="eastAsia"/>
          <w:color w:val="auto"/>
          <w:sz w:val="21"/>
          <w:szCs w:val="21"/>
          <w:highlight w:val="none"/>
        </w:rPr>
        <w:t>.8 暂停施工</w:t>
      </w:r>
      <w:bookmarkEnd w:id="878"/>
      <w:bookmarkEnd w:id="879"/>
    </w:p>
    <w:bookmarkEnd w:id="871"/>
    <w:bookmarkEnd w:id="872"/>
    <w:bookmarkEnd w:id="880"/>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7.8.1发包人原因引起的暂停施工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因发包人原因引起的暂停施工，发包人应承担由此增加的费用和（或）延误的工期，并支付承包人合理的利润。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7.8.2 承包人原因引起的暂停施工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7.8.3 指示暂停施工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监理人认为有必要时，并经发包人批准后，可向承包人作出暂停施工的指示，承包人应按监理人指示暂停施工。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7.8.4 紧急情况下的暂停施工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7.8.5 暂停施工后的复工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7.8.6 暂停施工持续56天以上</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7.8.7 暂停施工期间的工程照管</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暂停施工期间，承包人应负责妥善照管工程并提供安全保障，由此增加的费用由责任方承担。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7.8.8 暂停施工的措施</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暂停施工期间，发包人和承包人均应采取必要的措施确保工程质量及安全，防止因暂停施工扩大损失。</w:t>
      </w:r>
    </w:p>
    <w:p>
      <w:pPr>
        <w:pStyle w:val="7"/>
        <w:spacing w:before="0" w:beforeAutospacing="0" w:after="0" w:afterAutospacing="0" w:line="360" w:lineRule="auto"/>
        <w:ind w:firstLine="422" w:firstLineChars="200"/>
        <w:rPr>
          <w:color w:val="auto"/>
          <w:sz w:val="21"/>
          <w:szCs w:val="21"/>
          <w:highlight w:val="none"/>
        </w:rPr>
      </w:pPr>
      <w:bookmarkStart w:id="881" w:name="_Toc351203551"/>
      <w:bookmarkStart w:id="882" w:name="_Toc532377237"/>
      <w:r>
        <w:rPr>
          <w:rFonts w:hint="eastAsia"/>
          <w:color w:val="auto"/>
          <w:sz w:val="21"/>
          <w:szCs w:val="21"/>
          <w:highlight w:val="none"/>
        </w:rPr>
        <w:t>7.9提前竣工</w:t>
      </w:r>
      <w:bookmarkEnd w:id="881"/>
      <w:bookmarkEnd w:id="882"/>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7.9.2 发包人要求承包人提前竣工，或承包人提出提前竣工的建议能够给发包人带来效益的，合同当事人可以在专用合同条款中约定提前竣工的奖励。</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83" w:name="_Toc351203552"/>
      <w:bookmarkStart w:id="884" w:name="_Toc532377238"/>
      <w:bookmarkStart w:id="885" w:name="_Toc532375594"/>
      <w:r>
        <w:rPr>
          <w:rFonts w:hint="eastAsia"/>
          <w:color w:val="auto"/>
          <w:kern w:val="2"/>
          <w:sz w:val="21"/>
          <w:szCs w:val="21"/>
          <w:highlight w:val="none"/>
        </w:rPr>
        <w:t>8</w:t>
      </w:r>
      <w:bookmarkStart w:id="886" w:name="_Toc337558776"/>
      <w:bookmarkStart w:id="887" w:name="_Toc296503058"/>
      <w:bookmarkStart w:id="888" w:name="_Toc296346559"/>
      <w:r>
        <w:rPr>
          <w:rFonts w:hint="eastAsia"/>
          <w:color w:val="auto"/>
          <w:kern w:val="2"/>
          <w:sz w:val="21"/>
          <w:szCs w:val="21"/>
          <w:highlight w:val="none"/>
        </w:rPr>
        <w:t>. 材料与设备</w:t>
      </w:r>
      <w:bookmarkEnd w:id="883"/>
      <w:bookmarkEnd w:id="884"/>
      <w:bookmarkEnd w:id="885"/>
    </w:p>
    <w:bookmarkEnd w:id="886"/>
    <w:bookmarkEnd w:id="887"/>
    <w:bookmarkEnd w:id="888"/>
    <w:p>
      <w:pPr>
        <w:pStyle w:val="7"/>
        <w:spacing w:before="0" w:beforeAutospacing="0" w:after="0" w:afterAutospacing="0" w:line="360" w:lineRule="auto"/>
        <w:ind w:firstLine="422" w:firstLineChars="200"/>
        <w:rPr>
          <w:color w:val="auto"/>
          <w:sz w:val="21"/>
          <w:szCs w:val="21"/>
          <w:highlight w:val="none"/>
        </w:rPr>
      </w:pPr>
      <w:bookmarkStart w:id="889" w:name="_Toc532377239"/>
      <w:bookmarkStart w:id="890" w:name="_Toc351203553"/>
      <w:r>
        <w:rPr>
          <w:rFonts w:hint="eastAsia"/>
          <w:color w:val="auto"/>
          <w:sz w:val="21"/>
          <w:szCs w:val="21"/>
          <w:highlight w:val="none"/>
        </w:rPr>
        <w:t>8</w:t>
      </w:r>
      <w:bookmarkStart w:id="891" w:name="_Toc296503059"/>
      <w:bookmarkStart w:id="892" w:name="_Toc296346560"/>
      <w:bookmarkStart w:id="893" w:name="_Toc337558777"/>
      <w:bookmarkStart w:id="894" w:name="_Toc468936960"/>
      <w:r>
        <w:rPr>
          <w:rFonts w:hint="eastAsia"/>
          <w:color w:val="auto"/>
          <w:sz w:val="21"/>
          <w:szCs w:val="21"/>
          <w:highlight w:val="none"/>
        </w:rPr>
        <w:t>.1发包人供应材料与工程设备</w:t>
      </w:r>
      <w:bookmarkEnd w:id="889"/>
      <w:bookmarkEnd w:id="890"/>
    </w:p>
    <w:bookmarkEnd w:id="891"/>
    <w:bookmarkEnd w:id="892"/>
    <w:bookmarkEnd w:id="89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beforeAutospacing="0" w:after="0" w:afterAutospacing="0" w:line="360" w:lineRule="auto"/>
        <w:ind w:firstLine="422" w:firstLineChars="200"/>
        <w:rPr>
          <w:color w:val="auto"/>
          <w:sz w:val="21"/>
          <w:szCs w:val="21"/>
          <w:highlight w:val="none"/>
        </w:rPr>
      </w:pPr>
      <w:bookmarkStart w:id="895" w:name="_Toc532377240"/>
      <w:r>
        <w:rPr>
          <w:rFonts w:hint="eastAsia"/>
          <w:color w:val="auto"/>
          <w:sz w:val="21"/>
          <w:szCs w:val="21"/>
          <w:highlight w:val="none"/>
        </w:rPr>
        <w:t>8.2承包人采购材料与工程设备</w:t>
      </w:r>
      <w:bookmarkEnd w:id="895"/>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beforeAutospacing="0" w:after="0" w:afterAutospacing="0" w:line="360" w:lineRule="auto"/>
        <w:ind w:firstLine="422" w:firstLineChars="200"/>
        <w:rPr>
          <w:color w:val="auto"/>
          <w:sz w:val="21"/>
          <w:szCs w:val="21"/>
          <w:highlight w:val="none"/>
        </w:rPr>
      </w:pPr>
      <w:bookmarkStart w:id="896" w:name="_Toc532377241"/>
      <w:bookmarkStart w:id="897" w:name="_Toc351203555"/>
      <w:r>
        <w:rPr>
          <w:rFonts w:hint="eastAsia"/>
          <w:color w:val="auto"/>
          <w:sz w:val="21"/>
          <w:szCs w:val="21"/>
          <w:highlight w:val="none"/>
        </w:rPr>
        <w:t>8</w:t>
      </w:r>
      <w:bookmarkStart w:id="898" w:name="_Toc296346562"/>
      <w:bookmarkStart w:id="899" w:name="_Toc337558779"/>
      <w:bookmarkStart w:id="900" w:name="_Toc296503061"/>
      <w:r>
        <w:rPr>
          <w:rFonts w:hint="eastAsia"/>
          <w:color w:val="auto"/>
          <w:sz w:val="21"/>
          <w:szCs w:val="21"/>
          <w:highlight w:val="none"/>
        </w:rPr>
        <w:t>.3材料与工程设备的接收与拒收</w:t>
      </w:r>
      <w:bookmarkEnd w:id="896"/>
      <w:bookmarkEnd w:id="897"/>
    </w:p>
    <w:bookmarkEnd w:id="898"/>
    <w:bookmarkEnd w:id="899"/>
    <w:bookmarkEnd w:id="900"/>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8.3.2 承包人采购的材料和工程设备，应保证产品质量合格，承包人应在材料和工程设备到货前24小时通知监理人检验。承</w:t>
      </w:r>
      <w:bookmarkStart w:id="901" w:name="_Toc250655469"/>
      <w:r>
        <w:rPr>
          <w:rFonts w:hint="eastAsia" w:ascii="宋体" w:hAnsi="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p>
    <w:bookmarkEnd w:id="901"/>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beforeAutospacing="0" w:after="0" w:afterAutospacing="0" w:line="360" w:lineRule="auto"/>
        <w:ind w:firstLine="422" w:firstLineChars="200"/>
        <w:rPr>
          <w:color w:val="auto"/>
          <w:sz w:val="21"/>
          <w:szCs w:val="21"/>
          <w:highlight w:val="none"/>
        </w:rPr>
      </w:pPr>
      <w:bookmarkStart w:id="902" w:name="_Toc351203556"/>
      <w:bookmarkStart w:id="903" w:name="_Toc532377242"/>
      <w:r>
        <w:rPr>
          <w:rFonts w:hint="eastAsia"/>
          <w:color w:val="auto"/>
          <w:sz w:val="21"/>
          <w:szCs w:val="21"/>
          <w:highlight w:val="none"/>
        </w:rPr>
        <w:t>8</w:t>
      </w:r>
      <w:bookmarkStart w:id="904" w:name="_Toc296503062"/>
      <w:bookmarkStart w:id="905" w:name="_Toc296346563"/>
      <w:bookmarkStart w:id="906" w:name="_Toc337558780"/>
      <w:r>
        <w:rPr>
          <w:rFonts w:hint="eastAsia"/>
          <w:color w:val="auto"/>
          <w:sz w:val="21"/>
          <w:szCs w:val="21"/>
          <w:highlight w:val="none"/>
        </w:rPr>
        <w:t>.4材料与工程设备的保管与使用</w:t>
      </w:r>
      <w:bookmarkEnd w:id="902"/>
      <w:bookmarkEnd w:id="903"/>
    </w:p>
    <w:bookmarkEnd w:id="904"/>
    <w:bookmarkEnd w:id="905"/>
    <w:bookmarkEnd w:id="90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8.4.1 发包人供应材料与工程设备的保管与使用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发包人供应的材料和工程设备使用前，由承包人负责检验，检验费用由发包人承担，不合格的不得使用。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8.4.2 承包人采购材料与工程设备的保管与使用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pPr>
        <w:pStyle w:val="7"/>
        <w:spacing w:before="0" w:beforeAutospacing="0" w:after="0" w:afterAutospacing="0" w:line="360" w:lineRule="auto"/>
        <w:ind w:firstLine="422" w:firstLineChars="200"/>
        <w:rPr>
          <w:color w:val="auto"/>
          <w:sz w:val="21"/>
          <w:szCs w:val="21"/>
          <w:highlight w:val="none"/>
        </w:rPr>
      </w:pPr>
      <w:bookmarkStart w:id="907" w:name="_Toc351203557"/>
      <w:bookmarkStart w:id="908" w:name="_Toc532377243"/>
      <w:r>
        <w:rPr>
          <w:rFonts w:hint="eastAsia"/>
          <w:color w:val="auto"/>
          <w:sz w:val="21"/>
          <w:szCs w:val="21"/>
          <w:highlight w:val="none"/>
        </w:rPr>
        <w:t>8.5禁止使用不合格的材料和工程设备</w:t>
      </w:r>
      <w:bookmarkEnd w:id="907"/>
      <w:bookmarkEnd w:id="908"/>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8.5.3 发包人提供的材料或工程设备不符合合同要求的，承包人有权拒绝，并可要求发包人更换，由此增加的费用和（或）延误的工期由发包人承担，并支付承包人合理的利润。</w:t>
      </w:r>
    </w:p>
    <w:p>
      <w:pPr>
        <w:pStyle w:val="7"/>
        <w:spacing w:before="0" w:beforeAutospacing="0" w:after="0" w:afterAutospacing="0" w:line="360" w:lineRule="auto"/>
        <w:ind w:firstLine="422" w:firstLineChars="200"/>
        <w:rPr>
          <w:color w:val="auto"/>
          <w:sz w:val="21"/>
          <w:szCs w:val="21"/>
          <w:highlight w:val="none"/>
        </w:rPr>
      </w:pPr>
      <w:bookmarkStart w:id="909" w:name="_Toc351203558"/>
      <w:bookmarkStart w:id="910" w:name="_Toc532377244"/>
      <w:r>
        <w:rPr>
          <w:rFonts w:hint="eastAsia"/>
          <w:color w:val="auto"/>
          <w:sz w:val="21"/>
          <w:szCs w:val="21"/>
          <w:highlight w:val="none"/>
        </w:rPr>
        <w:t>8.6 样品</w:t>
      </w:r>
      <w:bookmarkEnd w:id="909"/>
      <w:bookmarkEnd w:id="910"/>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8.6.1</w:t>
      </w:r>
      <w:r>
        <w:rPr>
          <w:rFonts w:hint="eastAsia" w:ascii="宋体" w:hAnsi="宋体"/>
          <w:color w:val="auto"/>
          <w:kern w:val="0"/>
          <w:szCs w:val="21"/>
          <w:highlight w:val="none"/>
        </w:rPr>
        <w:tab/>
      </w:r>
      <w:r>
        <w:rPr>
          <w:rFonts w:hint="eastAsia" w:ascii="宋体" w:hAnsi="宋体"/>
          <w:color w:val="auto"/>
          <w:kern w:val="0"/>
          <w:szCs w:val="21"/>
          <w:highlight w:val="none"/>
        </w:rPr>
        <w:t>样品的报送与封存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需要承包人报送样品的材料或工程设备，样品的种类、名称、规格、数量等要求均应在专用合同条款中约定。样品的报送程序如下：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8.6.2 样品的保管</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经批准的样品应由监理人负责封存于现场，承包人应在现场为保存样品提供适当和固定的场所并保持适当和良好的存储环境条件。</w:t>
      </w:r>
    </w:p>
    <w:p>
      <w:pPr>
        <w:pStyle w:val="7"/>
        <w:spacing w:before="0" w:beforeAutospacing="0" w:after="0" w:afterAutospacing="0" w:line="360" w:lineRule="auto"/>
        <w:ind w:firstLine="422" w:firstLineChars="200"/>
        <w:rPr>
          <w:color w:val="auto"/>
          <w:sz w:val="21"/>
          <w:szCs w:val="21"/>
          <w:highlight w:val="none"/>
        </w:rPr>
      </w:pPr>
      <w:bookmarkStart w:id="911" w:name="_Toc351203559"/>
      <w:bookmarkStart w:id="912" w:name="_Toc532377245"/>
      <w:r>
        <w:rPr>
          <w:rFonts w:hint="eastAsia"/>
          <w:color w:val="auto"/>
          <w:sz w:val="21"/>
          <w:szCs w:val="21"/>
          <w:highlight w:val="none"/>
        </w:rPr>
        <w:t>8.7材料与工程设备的替代</w:t>
      </w:r>
      <w:bookmarkEnd w:id="911"/>
      <w:bookmarkEnd w:id="912"/>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8.7.1 出现下列情况需要使用替代材料和工程设备的，承包人应按照第8.7.2项约定的程序执行：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（1）基准日期后生效的法律规定禁止使用的；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（2）发包人要求使用替代品的；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（3）因其他原因必须使用替代品的。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8.7.2 承包人应在使用替代材料和工程设备28天前书面通知监理人，并附下列文件：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（1）被替代的材料和工程设备的名称、数量、规格、型号、品牌、性能、价格及其他相关资料；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（2）替代品的名称、数量、规格、型号、品牌、性能、价格及其他相关资料；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（3）替代品与被替代产品之间的差异以及使用替代品可能对工程产生的影响；</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（4）替代品与被替代产品的价格差异；</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（5）使用替代品的理由和原因说明；</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（6）监理人要求的其他文件。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beforeAutospacing="0" w:after="0" w:afterAutospacing="0" w:line="360" w:lineRule="auto"/>
        <w:ind w:firstLine="422" w:firstLineChars="200"/>
        <w:rPr>
          <w:color w:val="auto"/>
          <w:sz w:val="21"/>
          <w:szCs w:val="21"/>
          <w:highlight w:val="none"/>
        </w:rPr>
      </w:pPr>
      <w:bookmarkStart w:id="913" w:name="_Toc532377246"/>
      <w:bookmarkStart w:id="914" w:name="_Toc351203560"/>
      <w:r>
        <w:rPr>
          <w:rFonts w:hint="eastAsia"/>
          <w:color w:val="auto"/>
          <w:sz w:val="21"/>
          <w:szCs w:val="21"/>
          <w:highlight w:val="none"/>
        </w:rPr>
        <w:t>8.8施工设备和临时设施</w:t>
      </w:r>
      <w:bookmarkEnd w:id="913"/>
      <w:bookmarkEnd w:id="914"/>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8.8.1 承包人提供的施工设备和临时设施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除专用合同条款另有约定外，承包人应自行承担修建临时设施的费用，需要临时占地的，应由发包人办理申请手续并承担相应费用。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8.8.2发包人提供的施工设备和临时设施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发包人提供的施工设备或临时设施在专用合同条款中约定。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8.8.3要求承包人增加或更换施工设备</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beforeAutospacing="0" w:after="0" w:afterAutospacing="0" w:line="360" w:lineRule="auto"/>
        <w:ind w:firstLine="422" w:firstLineChars="200"/>
        <w:rPr>
          <w:color w:val="auto"/>
          <w:sz w:val="21"/>
          <w:szCs w:val="21"/>
          <w:highlight w:val="none"/>
        </w:rPr>
      </w:pPr>
      <w:bookmarkStart w:id="915" w:name="_Toc351203561"/>
      <w:bookmarkStart w:id="916" w:name="_Toc532377247"/>
      <w:r>
        <w:rPr>
          <w:rFonts w:hint="eastAsia"/>
          <w:color w:val="auto"/>
          <w:sz w:val="21"/>
          <w:szCs w:val="21"/>
          <w:highlight w:val="none"/>
        </w:rPr>
        <w:t>8</w:t>
      </w:r>
      <w:bookmarkStart w:id="917" w:name="_Toc296503063"/>
      <w:bookmarkStart w:id="918" w:name="_Toc296346564"/>
      <w:bookmarkStart w:id="919" w:name="_Toc337558781"/>
      <w:r>
        <w:rPr>
          <w:rFonts w:hint="eastAsia"/>
          <w:color w:val="auto"/>
          <w:sz w:val="21"/>
          <w:szCs w:val="21"/>
          <w:highlight w:val="none"/>
        </w:rPr>
        <w:t>.9材料与设备专用</w:t>
      </w:r>
      <w:bookmarkEnd w:id="915"/>
      <w:r>
        <w:rPr>
          <w:rFonts w:hint="eastAsia"/>
          <w:color w:val="auto"/>
          <w:sz w:val="21"/>
          <w:szCs w:val="21"/>
          <w:highlight w:val="none"/>
        </w:rPr>
        <w:t>要求</w:t>
      </w:r>
      <w:bookmarkEnd w:id="916"/>
    </w:p>
    <w:bookmarkEnd w:id="917"/>
    <w:bookmarkEnd w:id="918"/>
    <w:bookmarkEnd w:id="919"/>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894"/>
      <w:r>
        <w:rPr>
          <w:rFonts w:hint="eastAsia" w:ascii="宋体" w:hAnsi="宋体"/>
          <w:color w:val="auto"/>
          <w:kern w:val="0"/>
          <w:szCs w:val="21"/>
          <w:highlight w:val="none"/>
        </w:rPr>
        <w:t>经发包人批准，承包人可以根据施工进度计划撤走闲置的施工设备和其他物品。</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20" w:name="_Toc532375595"/>
      <w:bookmarkStart w:id="921" w:name="_Toc351203562"/>
      <w:bookmarkStart w:id="922" w:name="_Toc532377248"/>
      <w:r>
        <w:rPr>
          <w:rFonts w:hint="eastAsia"/>
          <w:color w:val="auto"/>
          <w:kern w:val="2"/>
          <w:sz w:val="21"/>
          <w:szCs w:val="21"/>
          <w:highlight w:val="none"/>
        </w:rPr>
        <w:t>9</w:t>
      </w:r>
      <w:bookmarkStart w:id="923" w:name="_Toc337558782"/>
      <w:bookmarkStart w:id="924" w:name="_Toc296346584"/>
      <w:bookmarkStart w:id="925" w:name="_Toc296503083"/>
      <w:r>
        <w:rPr>
          <w:rFonts w:hint="eastAsia"/>
          <w:color w:val="auto"/>
          <w:kern w:val="2"/>
          <w:sz w:val="21"/>
          <w:szCs w:val="21"/>
          <w:highlight w:val="none"/>
        </w:rPr>
        <w:t>. 试验与检验</w:t>
      </w:r>
      <w:bookmarkEnd w:id="920"/>
      <w:bookmarkEnd w:id="921"/>
      <w:bookmarkEnd w:id="922"/>
    </w:p>
    <w:bookmarkEnd w:id="923"/>
    <w:p>
      <w:pPr>
        <w:pStyle w:val="7"/>
        <w:spacing w:before="0" w:beforeAutospacing="0" w:after="0" w:afterAutospacing="0" w:line="360" w:lineRule="auto"/>
        <w:ind w:firstLine="422" w:firstLineChars="200"/>
        <w:rPr>
          <w:color w:val="auto"/>
          <w:sz w:val="21"/>
          <w:szCs w:val="21"/>
          <w:highlight w:val="none"/>
        </w:rPr>
      </w:pPr>
      <w:bookmarkStart w:id="926" w:name="_Toc351203563"/>
      <w:bookmarkStart w:id="927" w:name="_Toc532377249"/>
      <w:r>
        <w:rPr>
          <w:rFonts w:hint="eastAsia"/>
          <w:color w:val="auto"/>
          <w:sz w:val="21"/>
          <w:szCs w:val="21"/>
          <w:highlight w:val="none"/>
        </w:rPr>
        <w:t>9</w:t>
      </w:r>
      <w:bookmarkStart w:id="928" w:name="_Toc337558783"/>
      <w:r>
        <w:rPr>
          <w:rFonts w:hint="eastAsia"/>
          <w:color w:val="auto"/>
          <w:sz w:val="21"/>
          <w:szCs w:val="21"/>
          <w:highlight w:val="none"/>
        </w:rPr>
        <w:t>.1试验设备与试验人员</w:t>
      </w:r>
      <w:bookmarkEnd w:id="926"/>
      <w:bookmarkEnd w:id="927"/>
    </w:p>
    <w:bookmarkEnd w:id="928"/>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9.1.2 承包人应按专用合同条款的约定提供试验设备、取样装置、试验场所和试验条件，并向监理人提交相应进场计划表。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pPr>
        <w:pStyle w:val="7"/>
        <w:spacing w:before="0" w:beforeAutospacing="0" w:after="0" w:afterAutospacing="0" w:line="360" w:lineRule="auto"/>
        <w:ind w:firstLine="422" w:firstLineChars="200"/>
        <w:rPr>
          <w:color w:val="auto"/>
          <w:sz w:val="21"/>
          <w:szCs w:val="21"/>
          <w:highlight w:val="none"/>
        </w:rPr>
      </w:pPr>
      <w:bookmarkStart w:id="929" w:name="_Toc351203564"/>
      <w:bookmarkStart w:id="930" w:name="_Toc532377250"/>
      <w:r>
        <w:rPr>
          <w:rFonts w:hint="eastAsia"/>
          <w:color w:val="auto"/>
          <w:sz w:val="21"/>
          <w:szCs w:val="21"/>
          <w:highlight w:val="none"/>
        </w:rPr>
        <w:t>9</w:t>
      </w:r>
      <w:bookmarkStart w:id="931" w:name="_Toc337558784"/>
      <w:r>
        <w:rPr>
          <w:rFonts w:hint="eastAsia"/>
          <w:color w:val="auto"/>
          <w:sz w:val="21"/>
          <w:szCs w:val="21"/>
          <w:highlight w:val="none"/>
        </w:rPr>
        <w:t>.2取样</w:t>
      </w:r>
      <w:bookmarkEnd w:id="929"/>
      <w:bookmarkEnd w:id="930"/>
    </w:p>
    <w:bookmarkEnd w:id="931"/>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试验属于自检性质的，承包人可以单独取样。试验属于监理人抽检性质的，可由监理人取样，也可由承包人的试验人员在监理人的监督下取样。</w:t>
      </w:r>
    </w:p>
    <w:p>
      <w:pPr>
        <w:pStyle w:val="7"/>
        <w:spacing w:before="0" w:beforeAutospacing="0" w:after="0" w:afterAutospacing="0" w:line="360" w:lineRule="auto"/>
        <w:ind w:firstLine="422" w:firstLineChars="200"/>
        <w:rPr>
          <w:color w:val="auto"/>
          <w:sz w:val="21"/>
          <w:szCs w:val="21"/>
          <w:highlight w:val="none"/>
        </w:rPr>
      </w:pPr>
      <w:bookmarkStart w:id="932" w:name="_Toc351203565"/>
      <w:bookmarkStart w:id="933" w:name="_Toc532377251"/>
      <w:r>
        <w:rPr>
          <w:rFonts w:hint="eastAsia"/>
          <w:color w:val="auto"/>
          <w:sz w:val="21"/>
          <w:szCs w:val="21"/>
          <w:highlight w:val="none"/>
        </w:rPr>
        <w:t>9</w:t>
      </w:r>
      <w:bookmarkStart w:id="934" w:name="_Toc337558785"/>
      <w:r>
        <w:rPr>
          <w:rFonts w:hint="eastAsia"/>
          <w:color w:val="auto"/>
          <w:sz w:val="21"/>
          <w:szCs w:val="21"/>
          <w:highlight w:val="none"/>
        </w:rPr>
        <w:t>.3材料、工程设备和工程的试验和检验</w:t>
      </w:r>
      <w:bookmarkEnd w:id="932"/>
      <w:bookmarkEnd w:id="933"/>
    </w:p>
    <w:bookmarkEnd w:id="934"/>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beforeAutospacing="0" w:after="0" w:afterAutospacing="0" w:line="360" w:lineRule="auto"/>
        <w:ind w:firstLine="422" w:firstLineChars="200"/>
        <w:rPr>
          <w:color w:val="auto"/>
          <w:sz w:val="21"/>
          <w:szCs w:val="21"/>
          <w:highlight w:val="none"/>
        </w:rPr>
      </w:pPr>
      <w:bookmarkStart w:id="935" w:name="_Toc351203566"/>
      <w:bookmarkStart w:id="936" w:name="_Toc532377252"/>
      <w:r>
        <w:rPr>
          <w:rFonts w:hint="eastAsia"/>
          <w:color w:val="auto"/>
          <w:sz w:val="21"/>
          <w:szCs w:val="21"/>
          <w:highlight w:val="none"/>
        </w:rPr>
        <w:t>9</w:t>
      </w:r>
      <w:bookmarkStart w:id="937" w:name="_Toc337558786"/>
      <w:r>
        <w:rPr>
          <w:rFonts w:hint="eastAsia"/>
          <w:color w:val="auto"/>
          <w:sz w:val="21"/>
          <w:szCs w:val="21"/>
          <w:highlight w:val="none"/>
        </w:rPr>
        <w:t>.4现场工艺试验</w:t>
      </w:r>
      <w:bookmarkEnd w:id="935"/>
      <w:bookmarkEnd w:id="936"/>
    </w:p>
    <w:bookmarkEnd w:id="937"/>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38" w:name="_Toc351203567"/>
      <w:bookmarkStart w:id="939" w:name="_Toc532375596"/>
      <w:bookmarkStart w:id="940" w:name="_Toc532377253"/>
      <w:r>
        <w:rPr>
          <w:rFonts w:hint="eastAsia"/>
          <w:color w:val="auto"/>
          <w:kern w:val="2"/>
          <w:sz w:val="21"/>
          <w:szCs w:val="21"/>
          <w:highlight w:val="none"/>
        </w:rPr>
        <w:t>1</w:t>
      </w:r>
      <w:bookmarkStart w:id="941" w:name="_Toc337558787"/>
      <w:r>
        <w:rPr>
          <w:rFonts w:hint="eastAsia"/>
          <w:color w:val="auto"/>
          <w:kern w:val="2"/>
          <w:sz w:val="21"/>
          <w:szCs w:val="21"/>
          <w:highlight w:val="none"/>
        </w:rPr>
        <w:t>0. 变更</w:t>
      </w:r>
      <w:bookmarkEnd w:id="924"/>
      <w:bookmarkEnd w:id="925"/>
      <w:bookmarkEnd w:id="938"/>
      <w:bookmarkEnd w:id="939"/>
      <w:bookmarkEnd w:id="940"/>
    </w:p>
    <w:bookmarkEnd w:id="941"/>
    <w:p>
      <w:pPr>
        <w:pStyle w:val="7"/>
        <w:spacing w:before="0" w:beforeAutospacing="0" w:after="0" w:afterAutospacing="0" w:line="360" w:lineRule="auto"/>
        <w:ind w:firstLine="422" w:firstLineChars="200"/>
        <w:rPr>
          <w:color w:val="auto"/>
          <w:sz w:val="21"/>
          <w:szCs w:val="21"/>
          <w:highlight w:val="none"/>
        </w:rPr>
      </w:pPr>
      <w:bookmarkStart w:id="942" w:name="_Toc351203568"/>
      <w:bookmarkStart w:id="943" w:name="_Toc532377254"/>
      <w:r>
        <w:rPr>
          <w:rFonts w:hint="eastAsia"/>
          <w:color w:val="auto"/>
          <w:sz w:val="21"/>
          <w:szCs w:val="21"/>
          <w:highlight w:val="none"/>
        </w:rPr>
        <w:t>1</w:t>
      </w:r>
      <w:bookmarkStart w:id="944" w:name="_Toc296503084"/>
      <w:bookmarkStart w:id="945" w:name="_Toc337558788"/>
      <w:bookmarkStart w:id="946" w:name="_Toc296346585"/>
      <w:r>
        <w:rPr>
          <w:rFonts w:hint="eastAsia"/>
          <w:color w:val="auto"/>
          <w:sz w:val="21"/>
          <w:szCs w:val="21"/>
          <w:highlight w:val="none"/>
        </w:rPr>
        <w:t>0.1变更的范围</w:t>
      </w:r>
      <w:bookmarkEnd w:id="942"/>
      <w:bookmarkEnd w:id="943"/>
    </w:p>
    <w:bookmarkEnd w:id="944"/>
    <w:bookmarkEnd w:id="945"/>
    <w:bookmarkEnd w:id="94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除专用合同条款另有约定外，合同履行过程中发生以下情形的，应按照本条约定进行变更：</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（1）增加或减少合同中任何工作，或追加额外的工作；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（2）取消合同中任何工作，但转由他人实施的工作除外；</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（3）改变合同中任何工作的质量标准或其他特性；</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（4）改变工程的基线、标高、位置和尺寸；</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（5）改变工程的时间安排或实施顺序。</w:t>
      </w:r>
    </w:p>
    <w:p>
      <w:pPr>
        <w:pStyle w:val="7"/>
        <w:spacing w:before="0" w:beforeAutospacing="0" w:after="0" w:afterAutospacing="0" w:line="360" w:lineRule="auto"/>
        <w:ind w:firstLine="422" w:firstLineChars="200"/>
        <w:rPr>
          <w:color w:val="auto"/>
          <w:sz w:val="21"/>
          <w:szCs w:val="21"/>
          <w:highlight w:val="none"/>
        </w:rPr>
      </w:pPr>
      <w:bookmarkStart w:id="947" w:name="_Toc532377255"/>
      <w:r>
        <w:rPr>
          <w:rFonts w:hint="eastAsia"/>
          <w:color w:val="auto"/>
          <w:sz w:val="21"/>
          <w:szCs w:val="21"/>
          <w:highlight w:val="none"/>
        </w:rPr>
        <w:t>10.2变更权</w:t>
      </w:r>
      <w:bookmarkEnd w:id="947"/>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涉及设计变更的，应由设计人提供变更后的图纸和说明。如变更超过原设计标准或批准的建设规模时，发包人应及时办理规划、设计变更等审批手续。</w:t>
      </w:r>
    </w:p>
    <w:p>
      <w:pPr>
        <w:pStyle w:val="7"/>
        <w:spacing w:before="0" w:beforeAutospacing="0" w:after="0" w:afterAutospacing="0" w:line="360" w:lineRule="auto"/>
        <w:ind w:firstLine="422" w:firstLineChars="200"/>
        <w:rPr>
          <w:color w:val="auto"/>
          <w:sz w:val="21"/>
          <w:szCs w:val="21"/>
          <w:highlight w:val="none"/>
        </w:rPr>
      </w:pPr>
      <w:bookmarkStart w:id="948" w:name="_Toc532377256"/>
      <w:r>
        <w:rPr>
          <w:rFonts w:hint="eastAsia"/>
          <w:color w:val="auto"/>
          <w:sz w:val="21"/>
          <w:szCs w:val="21"/>
          <w:highlight w:val="none"/>
        </w:rPr>
        <w:t>10.3变更程序</w:t>
      </w:r>
      <w:bookmarkEnd w:id="948"/>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10.3.1 发包人提出变更</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发包人提出变更的，应通过监理人向承包人发出变更指示，变更指示应说明计划变更的工程范围和变更的内容。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10.3.2 监理人提出变更建议</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10.3.3 变更执行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beforeAutospacing="0" w:after="0" w:afterAutospacing="0" w:line="360" w:lineRule="auto"/>
        <w:ind w:firstLine="422" w:firstLineChars="200"/>
        <w:rPr>
          <w:color w:val="auto"/>
          <w:sz w:val="21"/>
          <w:szCs w:val="21"/>
          <w:highlight w:val="none"/>
        </w:rPr>
      </w:pPr>
      <w:bookmarkStart w:id="949" w:name="_Toc532377257"/>
      <w:bookmarkStart w:id="950" w:name="_Toc351203571"/>
      <w:r>
        <w:rPr>
          <w:rFonts w:hint="eastAsia"/>
          <w:color w:val="auto"/>
          <w:sz w:val="21"/>
          <w:szCs w:val="21"/>
          <w:highlight w:val="none"/>
        </w:rPr>
        <w:t>1</w:t>
      </w:r>
      <w:bookmarkStart w:id="951" w:name="_Toc296346588"/>
      <w:bookmarkStart w:id="952" w:name="_Toc337558791"/>
      <w:bookmarkStart w:id="953" w:name="_Toc296503087"/>
      <w:r>
        <w:rPr>
          <w:rFonts w:hint="eastAsia"/>
          <w:color w:val="auto"/>
          <w:sz w:val="21"/>
          <w:szCs w:val="21"/>
          <w:highlight w:val="none"/>
        </w:rPr>
        <w:t>0.4变更估价</w:t>
      </w:r>
      <w:bookmarkEnd w:id="949"/>
      <w:bookmarkEnd w:id="950"/>
    </w:p>
    <w:bookmarkEnd w:id="951"/>
    <w:bookmarkEnd w:id="952"/>
    <w:bookmarkEnd w:id="95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10.4.1 变更估价原则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除专用合同条款另有约定外，变更估价按照本款约定处理：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（1）已标价工程量清单或预算书有相同项目的，按照相同项目单价认定；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（2）已标价工程量清单或预算书中无相同项目，但有类似项目的，参照类似项目的单价认定；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10.4.2 变更估价程序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因变更引起的价格调整应计入最近一期的进度款中支付。</w:t>
      </w:r>
    </w:p>
    <w:p>
      <w:pPr>
        <w:pStyle w:val="7"/>
        <w:spacing w:before="0" w:beforeAutospacing="0" w:after="0" w:afterAutospacing="0" w:line="360" w:lineRule="auto"/>
        <w:ind w:firstLine="422" w:firstLineChars="200"/>
        <w:rPr>
          <w:color w:val="auto"/>
          <w:sz w:val="21"/>
          <w:szCs w:val="21"/>
          <w:highlight w:val="none"/>
        </w:rPr>
      </w:pPr>
      <w:bookmarkStart w:id="954" w:name="_Toc351203572"/>
      <w:bookmarkStart w:id="955" w:name="_Toc532377258"/>
      <w:r>
        <w:rPr>
          <w:rFonts w:hint="eastAsia"/>
          <w:color w:val="auto"/>
          <w:sz w:val="21"/>
          <w:szCs w:val="21"/>
          <w:highlight w:val="none"/>
        </w:rPr>
        <w:t>1</w:t>
      </w:r>
      <w:bookmarkStart w:id="956" w:name="_Toc296346595"/>
      <w:bookmarkStart w:id="957" w:name="_Toc296503094"/>
      <w:bookmarkStart w:id="958" w:name="_Toc337558792"/>
      <w:r>
        <w:rPr>
          <w:rFonts w:hint="eastAsia"/>
          <w:color w:val="auto"/>
          <w:sz w:val="21"/>
          <w:szCs w:val="21"/>
          <w:highlight w:val="none"/>
        </w:rPr>
        <w:t>0.5承包人的合理化建议</w:t>
      </w:r>
      <w:bookmarkEnd w:id="954"/>
      <w:bookmarkEnd w:id="955"/>
    </w:p>
    <w:bookmarkEnd w:id="956"/>
    <w:bookmarkEnd w:id="957"/>
    <w:bookmarkEnd w:id="95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承包人提出合理化建议的，应向监理人提交合理化建议说明，说明建议的内容和理由，以及实施该建议对合同价格和工期的影响。</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合理化建议降低了合同价格或者提高了工程经济效益的，发包人可对承包人给予奖励，奖励的方法和金额在专用合同条款中约定。</w:t>
      </w:r>
    </w:p>
    <w:p>
      <w:pPr>
        <w:pStyle w:val="7"/>
        <w:spacing w:before="0" w:beforeAutospacing="0" w:after="0" w:afterAutospacing="0" w:line="360" w:lineRule="auto"/>
        <w:ind w:firstLine="422" w:firstLineChars="200"/>
        <w:rPr>
          <w:color w:val="auto"/>
          <w:sz w:val="21"/>
          <w:szCs w:val="21"/>
          <w:highlight w:val="none"/>
        </w:rPr>
      </w:pPr>
      <w:bookmarkStart w:id="959" w:name="_Toc351203573"/>
      <w:bookmarkStart w:id="960" w:name="_Toc532377259"/>
      <w:r>
        <w:rPr>
          <w:rFonts w:hint="eastAsia"/>
          <w:color w:val="auto"/>
          <w:sz w:val="21"/>
          <w:szCs w:val="21"/>
          <w:highlight w:val="none"/>
        </w:rPr>
        <w:t>1</w:t>
      </w:r>
      <w:bookmarkStart w:id="961" w:name="_Toc337558793"/>
      <w:r>
        <w:rPr>
          <w:rFonts w:hint="eastAsia"/>
          <w:color w:val="auto"/>
          <w:sz w:val="21"/>
          <w:szCs w:val="21"/>
          <w:highlight w:val="none"/>
        </w:rPr>
        <w:t>0.6变更引起的工期调整</w:t>
      </w:r>
      <w:bookmarkEnd w:id="959"/>
      <w:bookmarkEnd w:id="960"/>
      <w:bookmarkEnd w:id="961"/>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因变更引起工期变化的，合同当事人均可要求调整合同工期，由合同当事人按照第4.4款〔商定或确定〕并参考工程所在地的工期定额标准确定增减工期天数。</w:t>
      </w:r>
    </w:p>
    <w:p>
      <w:pPr>
        <w:pStyle w:val="7"/>
        <w:spacing w:before="0" w:beforeAutospacing="0" w:after="0" w:afterAutospacing="0" w:line="360" w:lineRule="auto"/>
        <w:ind w:firstLine="422" w:firstLineChars="200"/>
        <w:rPr>
          <w:color w:val="auto"/>
          <w:sz w:val="21"/>
          <w:szCs w:val="21"/>
          <w:highlight w:val="none"/>
        </w:rPr>
      </w:pPr>
      <w:bookmarkStart w:id="962" w:name="_Toc351203574"/>
      <w:bookmarkStart w:id="963" w:name="_Toc532377260"/>
      <w:r>
        <w:rPr>
          <w:rFonts w:hint="eastAsia"/>
          <w:color w:val="auto"/>
          <w:sz w:val="21"/>
          <w:szCs w:val="21"/>
          <w:highlight w:val="none"/>
        </w:rPr>
        <w:t>10.7暂估价</w:t>
      </w:r>
      <w:bookmarkEnd w:id="962"/>
      <w:bookmarkEnd w:id="963"/>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暂估价专业分包工程、服务、材料和工程设备的明细由合同当事人在专用合同条款中约定。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10.7.1 依法必须比选的暂估价项目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对于依法必须比选的暂估价项目，采取以下第1种方式确定。合同当事人也可以在专用合同条款中选择其他比选方式。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第1种方式：对于依法必须比选的暂估价项目，由承包人比选，对该暂估价项目的确认和批准按照以下约定执行：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当根据施工进度计划，在比选工作启动前14天将比选方案通过监理人报送发包人审查，发包人应当在收到承包人报送的比选方案后7天内批准或提出修改意见。承包人应当按照经过发包人批准的比选方案开展比选工作；</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当根据施工进度计划，提前14天将竞争性比选文件通过监理人报送发包人审批，发包人应当在收到承包人报送的相关文件后7天内完成审批或提出修改意见；发包人有权确定最高限价并按照法律规定参加评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对于依法必须比选的暂估价项目，由发包人和承包人共同比选确定暂估价供应商或分包人的，承包人应按照施工进度计划，在比选工作启动前14天通知发包人，并提交暂估价比选方案和工作分工。发包人应在收到后7天内确认。确定中标人后，由发包人、承包人与中标人共同签订暂估价合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10.7.2不属于依法必须比选的暂估价项目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除专用合同条款另有约定外，对于不属于依法必须比选的暂估价项目，采取以下第1种方式确定：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第1种方式：对于不属于依法必须比选的暂估价项目，按本项约定确认和批准：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（3）承包人应当在签订暂估价合同后7天内，将暂估价合同副本报送发包人留存。</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第2种方式：承包人按照第10.7.1项〔依法必须比选的暂估价项目〕约定的第1种方式确定暂估价项目。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第3种方式：承包人直接实施的暂估价项目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beforeAutospacing="0" w:after="0" w:afterAutospacing="0" w:line="360" w:lineRule="auto"/>
        <w:ind w:firstLine="422" w:firstLineChars="200"/>
        <w:rPr>
          <w:color w:val="auto"/>
          <w:sz w:val="21"/>
          <w:szCs w:val="21"/>
          <w:highlight w:val="none"/>
        </w:rPr>
      </w:pPr>
      <w:bookmarkStart w:id="964" w:name="_Toc351203575"/>
      <w:bookmarkStart w:id="965" w:name="_Toc532377261"/>
      <w:r>
        <w:rPr>
          <w:rFonts w:hint="eastAsia"/>
          <w:color w:val="auto"/>
          <w:sz w:val="21"/>
          <w:szCs w:val="21"/>
          <w:highlight w:val="none"/>
        </w:rPr>
        <w:t>1</w:t>
      </w:r>
      <w:bookmarkStart w:id="966" w:name="_Toc337558794"/>
      <w:bookmarkStart w:id="967" w:name="_Toc296346591"/>
      <w:bookmarkStart w:id="968" w:name="_Toc296503090"/>
      <w:bookmarkStart w:id="969" w:name="_Toc322522561"/>
      <w:r>
        <w:rPr>
          <w:rFonts w:hint="eastAsia"/>
          <w:color w:val="auto"/>
          <w:sz w:val="21"/>
          <w:szCs w:val="21"/>
          <w:highlight w:val="none"/>
        </w:rPr>
        <w:t>0.8暂列金额</w:t>
      </w:r>
      <w:bookmarkEnd w:id="964"/>
      <w:bookmarkEnd w:id="965"/>
    </w:p>
    <w:bookmarkEnd w:id="96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暂列金额应按照发包人的要求使用，发包人的要求应通过监理人发出。合同当事人可以在专用合同条款中协商确定有关事项。</w:t>
      </w:r>
    </w:p>
    <w:bookmarkEnd w:id="967"/>
    <w:bookmarkEnd w:id="968"/>
    <w:bookmarkEnd w:id="969"/>
    <w:p>
      <w:pPr>
        <w:pStyle w:val="7"/>
        <w:spacing w:before="0" w:beforeAutospacing="0" w:after="0" w:afterAutospacing="0" w:line="360" w:lineRule="auto"/>
        <w:ind w:firstLine="422" w:firstLineChars="200"/>
        <w:rPr>
          <w:color w:val="auto"/>
          <w:sz w:val="21"/>
          <w:szCs w:val="21"/>
          <w:highlight w:val="none"/>
        </w:rPr>
      </w:pPr>
      <w:bookmarkStart w:id="970" w:name="_Toc351203576"/>
      <w:bookmarkStart w:id="971" w:name="_Toc532377262"/>
      <w:r>
        <w:rPr>
          <w:rFonts w:hint="eastAsia"/>
          <w:color w:val="auto"/>
          <w:sz w:val="21"/>
          <w:szCs w:val="21"/>
          <w:highlight w:val="none"/>
        </w:rPr>
        <w:t>1</w:t>
      </w:r>
      <w:bookmarkStart w:id="972" w:name="_Toc296346592"/>
      <w:bookmarkStart w:id="973" w:name="_Toc296503091"/>
      <w:bookmarkStart w:id="974" w:name="_Toc337558796"/>
      <w:r>
        <w:rPr>
          <w:rFonts w:hint="eastAsia"/>
          <w:color w:val="auto"/>
          <w:sz w:val="21"/>
          <w:szCs w:val="21"/>
          <w:highlight w:val="none"/>
        </w:rPr>
        <w:t>0.9计日工</w:t>
      </w:r>
      <w:bookmarkEnd w:id="970"/>
      <w:bookmarkEnd w:id="971"/>
      <w:bookmarkEnd w:id="972"/>
      <w:bookmarkEnd w:id="973"/>
      <w:bookmarkEnd w:id="974"/>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采用计日工计价的任何一项工作，承包人应在该项工作实施过程中，每天提交以下报表和有关凭证报送监理人审查：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（1）工作名称、内容和数量；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（2）投入该工作的所有人员的姓名、专业、工种、级别和耗用工时；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（3）投入该工作的材料类别和数量；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（4）投入该工作的施工设备型号、台数和耗用台时；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（5）其他有关资料和凭证。</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计日工由承包人汇总后，列入最近一期进度付款申请单，由监理人审查并经发包人批准后列入进度付款。</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75" w:name="_Toc532377263"/>
      <w:bookmarkStart w:id="976" w:name="_Toc532375597"/>
      <w:bookmarkStart w:id="977" w:name="_Toc351203577"/>
      <w:r>
        <w:rPr>
          <w:rFonts w:hint="eastAsia"/>
          <w:color w:val="auto"/>
          <w:kern w:val="2"/>
          <w:sz w:val="21"/>
          <w:szCs w:val="21"/>
          <w:highlight w:val="none"/>
        </w:rPr>
        <w:t>11. 价格调整</w:t>
      </w:r>
      <w:bookmarkEnd w:id="975"/>
      <w:bookmarkEnd w:id="976"/>
      <w:bookmarkEnd w:id="977"/>
    </w:p>
    <w:p>
      <w:pPr>
        <w:pStyle w:val="7"/>
        <w:spacing w:before="0" w:beforeAutospacing="0" w:after="0" w:afterAutospacing="0" w:line="360" w:lineRule="auto"/>
        <w:ind w:firstLine="422" w:firstLineChars="200"/>
        <w:rPr>
          <w:color w:val="auto"/>
          <w:sz w:val="21"/>
          <w:szCs w:val="21"/>
          <w:highlight w:val="none"/>
        </w:rPr>
      </w:pPr>
      <w:bookmarkStart w:id="978" w:name="_Toc532377264"/>
      <w:bookmarkStart w:id="979" w:name="_Toc351203578"/>
      <w:bookmarkStart w:id="980" w:name="_Toc296503092"/>
      <w:bookmarkStart w:id="981" w:name="_Toc296346593"/>
      <w:bookmarkStart w:id="982" w:name="_Toc337558797"/>
      <w:r>
        <w:rPr>
          <w:rFonts w:hint="eastAsia"/>
          <w:color w:val="auto"/>
          <w:sz w:val="21"/>
          <w:szCs w:val="21"/>
          <w:highlight w:val="none"/>
        </w:rPr>
        <w:t>11.1市场价格波动引起的调整</w:t>
      </w:r>
      <w:bookmarkEnd w:id="978"/>
      <w:bookmarkEnd w:id="979"/>
    </w:p>
    <w:bookmarkEnd w:id="980"/>
    <w:bookmarkEnd w:id="981"/>
    <w:bookmarkEnd w:id="982"/>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第1种方式：采用价格指数进行价格调整。</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（1）价格调整公式</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5" o:spt="75" type="#_x0000_t75" style="height:42.75pt;width:360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tabs>
          <w:tab w:val="left" w:pos="0"/>
          <w:tab w:val="left" w:pos="360"/>
          <w:tab w:val="left" w:pos="540"/>
        </w:tabs>
        <w:spacing w:line="360" w:lineRule="auto"/>
        <w:ind w:firstLine="200"/>
        <w:jc w:val="left"/>
        <w:rPr>
          <w:rFonts w:ascii="宋体" w:hAnsi="宋体"/>
          <w:color w:val="auto"/>
          <w:kern w:val="0"/>
          <w:szCs w:val="21"/>
          <w:highlight w:val="none"/>
        </w:rPr>
      </w:pPr>
      <w:r>
        <w:rPr>
          <w:rFonts w:hint="eastAsia" w:ascii="宋体" w:hAnsi="宋体"/>
          <w:color w:val="auto"/>
          <w:kern w:val="0"/>
          <w:szCs w:val="21"/>
          <w:highlight w:val="none"/>
        </w:rPr>
        <w:t>公式中：ΔP——需调整的价格差额；</w:t>
      </w:r>
    </w:p>
    <w:p>
      <w:pPr>
        <w:tabs>
          <w:tab w:val="left" w:pos="0"/>
          <w:tab w:val="left" w:pos="360"/>
          <w:tab w:val="left" w:pos="540"/>
        </w:tabs>
        <w:spacing w:line="360" w:lineRule="auto"/>
        <w:ind w:firstLine="1260" w:firstLineChars="600"/>
        <w:jc w:val="left"/>
        <w:rPr>
          <w:rFonts w:ascii="宋体" w:hAnsi="宋体"/>
          <w:color w:val="auto"/>
          <w:kern w:val="0"/>
          <w:szCs w:val="21"/>
          <w:highlight w:val="none"/>
        </w:rPr>
      </w:pPr>
      <w:r>
        <w:rPr>
          <w:rFonts w:hint="eastAsia" w:ascii="宋体" w:hAnsi="宋体"/>
          <w:color w:val="auto"/>
          <w:kern w:val="0"/>
          <w:szCs w:val="21"/>
          <w:highlight w:val="none"/>
        </w:rPr>
        <w:object>
          <v:shape id="_x0000_i1026" o:spt="75" type="#_x0000_t75" style="height:18.75pt;width:18.7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ascii="宋体" w:hAnsi="宋体"/>
          <w:color w:val="auto"/>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A——定值权重（即不调部分的权重）；</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7" o:spt="75" type="#_x0000_t75" style="height:21.75pt;width:100.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ascii="宋体" w:hAnsi="宋体"/>
          <w:color w:val="auto"/>
          <w:kern w:val="0"/>
          <w:szCs w:val="21"/>
          <w:highlight w:val="none"/>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8" o:spt="75" type="#_x0000_t75" style="height:21.75pt;width:102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hint="eastAsia" w:ascii="宋体" w:hAnsi="宋体"/>
          <w:color w:val="auto"/>
          <w:kern w:val="0"/>
          <w:szCs w:val="21"/>
          <w:highlight w:val="none"/>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9" o:spt="75" type="#_x0000_t75" style="height:21.75pt;width:108.75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hint="eastAsia" w:ascii="宋体" w:hAnsi="宋体"/>
          <w:color w:val="auto"/>
          <w:kern w:val="0"/>
          <w:szCs w:val="21"/>
          <w:highlight w:val="none"/>
        </w:rPr>
        <w:t>——各可调因子的基本价格指数，指基准日期的各可调因子的价格指数。</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上价格调整公式中的各可调因子、定值和变值权重，以及基本价格指数及其来源在比选申请函附录价格指数和权重表中约定，非比选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（2）暂时确定调整差额</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（3）权重的调整</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因变更导致合同约定的权重不合理时，按照第4.4款〔商定或确定〕执行。</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（4）因承包人原因工期延误后的价格调整</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第2种方式：采用造价信息进行价格调整。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（2）材料、工程设备价格变化的价款调整按照发包人提供的基准价格，按以下风险范围规定执行: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color w:val="auto"/>
          <w:kern w:val="0"/>
          <w:szCs w:val="21"/>
          <w:highlight w:val="none"/>
        </w:rPr>
      </w:pPr>
      <w:bookmarkStart w:id="983" w:name="OLE_LINK3"/>
      <w:r>
        <w:rPr>
          <w:rFonts w:hint="eastAsia" w:ascii="宋体" w:hAnsi="宋体"/>
          <w:color w:val="auto"/>
          <w:kern w:val="0"/>
          <w:szCs w:val="21"/>
          <w:highlight w:val="none"/>
        </w:rPr>
        <w:t>前述基准价格是指由发包人在竞争性比选文件或专用合同条款中给定的材料、工程设备的价格，该价格原则上应当按照省级或行业建设主管部门或其授权的工程造价管理机构发布的信息价编制。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第3种方式：专用合同条款约定的其他方式。</w:t>
      </w:r>
    </w:p>
    <w:p>
      <w:pPr>
        <w:pStyle w:val="7"/>
        <w:spacing w:before="0" w:beforeAutospacing="0" w:after="0" w:afterAutospacing="0" w:line="360" w:lineRule="auto"/>
        <w:ind w:firstLine="422" w:firstLineChars="200"/>
        <w:rPr>
          <w:color w:val="auto"/>
          <w:sz w:val="21"/>
          <w:szCs w:val="21"/>
          <w:highlight w:val="none"/>
        </w:rPr>
      </w:pPr>
      <w:bookmarkStart w:id="984" w:name="_Toc351203579"/>
      <w:bookmarkStart w:id="985" w:name="_Toc532377265"/>
      <w:bookmarkStart w:id="986" w:name="_Toc337558798"/>
      <w:bookmarkStart w:id="987" w:name="_Toc296503093"/>
      <w:bookmarkStart w:id="988" w:name="_Toc296346594"/>
      <w:r>
        <w:rPr>
          <w:rFonts w:hint="eastAsia"/>
          <w:color w:val="auto"/>
          <w:sz w:val="21"/>
          <w:szCs w:val="21"/>
          <w:highlight w:val="none"/>
        </w:rPr>
        <w:t>11.2法律变化引起的调整</w:t>
      </w:r>
      <w:bookmarkEnd w:id="984"/>
      <w:bookmarkEnd w:id="985"/>
    </w:p>
    <w:bookmarkEnd w:id="986"/>
    <w:bookmarkEnd w:id="987"/>
    <w:bookmarkEnd w:id="988"/>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因法律变化引起的合同价格和工期调整，合同当事人无法达成一致的，由总监理工程师按第4.4款〔商定或确定〕的约定处理。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因承包人原因造成工期延误，在工期延误期间出现法律变化的，由此增加的费用和（或）延误的工期由承包人承担。</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89" w:name="_Toc351203580"/>
      <w:bookmarkStart w:id="990" w:name="_Toc532375598"/>
      <w:bookmarkStart w:id="991" w:name="_Toc532377266"/>
      <w:bookmarkStart w:id="992" w:name="_Toc337558799"/>
      <w:bookmarkStart w:id="993" w:name="_Toc296346597"/>
      <w:bookmarkStart w:id="994" w:name="_Toc296503096"/>
      <w:r>
        <w:rPr>
          <w:rFonts w:hint="eastAsia"/>
          <w:color w:val="auto"/>
          <w:kern w:val="2"/>
          <w:sz w:val="21"/>
          <w:szCs w:val="21"/>
          <w:highlight w:val="none"/>
        </w:rPr>
        <w:t>12. 合同价格、计量与支付</w:t>
      </w:r>
      <w:bookmarkEnd w:id="989"/>
      <w:bookmarkEnd w:id="990"/>
      <w:bookmarkEnd w:id="991"/>
    </w:p>
    <w:bookmarkEnd w:id="992"/>
    <w:p>
      <w:pPr>
        <w:pStyle w:val="7"/>
        <w:spacing w:before="0" w:beforeAutospacing="0" w:after="0" w:afterAutospacing="0" w:line="360" w:lineRule="auto"/>
        <w:ind w:firstLine="422" w:firstLineChars="200"/>
        <w:rPr>
          <w:color w:val="auto"/>
          <w:sz w:val="21"/>
          <w:szCs w:val="21"/>
          <w:highlight w:val="none"/>
        </w:rPr>
      </w:pPr>
      <w:bookmarkStart w:id="995" w:name="_Toc532377267"/>
      <w:bookmarkStart w:id="996" w:name="_Toc351203581"/>
      <w:bookmarkStart w:id="997" w:name="_Toc337558800"/>
      <w:r>
        <w:rPr>
          <w:rFonts w:hint="eastAsia"/>
          <w:color w:val="auto"/>
          <w:sz w:val="21"/>
          <w:szCs w:val="21"/>
          <w:highlight w:val="none"/>
        </w:rPr>
        <w:t>12.1 合同价</w:t>
      </w:r>
      <w:bookmarkEnd w:id="993"/>
      <w:bookmarkEnd w:id="994"/>
      <w:r>
        <w:rPr>
          <w:rFonts w:hint="eastAsia"/>
          <w:color w:val="auto"/>
          <w:sz w:val="21"/>
          <w:szCs w:val="21"/>
          <w:highlight w:val="none"/>
        </w:rPr>
        <w:t>格形式</w:t>
      </w:r>
      <w:bookmarkEnd w:id="995"/>
      <w:bookmarkEnd w:id="996"/>
    </w:p>
    <w:bookmarkEnd w:id="997"/>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发包人和承包人应在合同协议书中选择下列一种合同价格形式：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beforeAutospacing="0" w:after="0" w:afterAutospacing="0" w:line="360" w:lineRule="auto"/>
        <w:ind w:firstLine="420" w:firstLineChars="200"/>
        <w:rPr>
          <w:b w:val="0"/>
          <w:color w:val="auto"/>
          <w:sz w:val="21"/>
          <w:szCs w:val="21"/>
          <w:highlight w:val="none"/>
        </w:rPr>
      </w:pPr>
      <w:bookmarkStart w:id="998" w:name="_Toc532377268"/>
      <w:r>
        <w:rPr>
          <w:rFonts w:hint="eastAsia"/>
          <w:b w:val="0"/>
          <w:color w:val="auto"/>
          <w:sz w:val="21"/>
          <w:szCs w:val="21"/>
          <w:highlight w:val="none"/>
        </w:rPr>
        <w:t>2.总价合同</w:t>
      </w:r>
      <w:bookmarkEnd w:id="998"/>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beforeAutospacing="0" w:after="0" w:afterAutospacing="0" w:line="360" w:lineRule="auto"/>
        <w:ind w:firstLine="420" w:firstLineChars="200"/>
        <w:rPr>
          <w:b w:val="0"/>
          <w:color w:val="auto"/>
          <w:sz w:val="21"/>
          <w:szCs w:val="21"/>
          <w:highlight w:val="none"/>
        </w:rPr>
      </w:pPr>
      <w:bookmarkStart w:id="999" w:name="_Toc532377269"/>
      <w:r>
        <w:rPr>
          <w:rFonts w:hint="eastAsia"/>
          <w:b w:val="0"/>
          <w:color w:val="auto"/>
          <w:sz w:val="21"/>
          <w:szCs w:val="21"/>
          <w:highlight w:val="none"/>
        </w:rPr>
        <w:t>3.其它价格形式</w:t>
      </w:r>
      <w:bookmarkEnd w:id="999"/>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合同当事人可在专用合同条款中约定其他合同价格形式。</w:t>
      </w:r>
    </w:p>
    <w:p>
      <w:pPr>
        <w:pStyle w:val="7"/>
        <w:spacing w:before="0" w:beforeAutospacing="0" w:after="0" w:afterAutospacing="0" w:line="360" w:lineRule="auto"/>
        <w:ind w:firstLine="422" w:firstLineChars="200"/>
        <w:rPr>
          <w:color w:val="auto"/>
          <w:sz w:val="21"/>
          <w:szCs w:val="21"/>
          <w:highlight w:val="none"/>
        </w:rPr>
      </w:pPr>
      <w:bookmarkStart w:id="1000" w:name="_Toc296503097"/>
      <w:bookmarkStart w:id="1001" w:name="_Toc296346598"/>
      <w:bookmarkStart w:id="1002" w:name="_Toc532377270"/>
      <w:bookmarkStart w:id="1003" w:name="_Toc351203582"/>
      <w:bookmarkStart w:id="1004" w:name="_Toc337558801"/>
      <w:r>
        <w:rPr>
          <w:rFonts w:hint="eastAsia"/>
          <w:color w:val="auto"/>
          <w:sz w:val="21"/>
          <w:szCs w:val="21"/>
          <w:highlight w:val="none"/>
        </w:rPr>
        <w:t>12.2预</w:t>
      </w:r>
      <w:bookmarkEnd w:id="1000"/>
      <w:bookmarkEnd w:id="1001"/>
      <w:bookmarkStart w:id="1005" w:name="_Toc296346601"/>
      <w:bookmarkStart w:id="1006" w:name="_Toc296503100"/>
      <w:r>
        <w:rPr>
          <w:rFonts w:hint="eastAsia"/>
          <w:color w:val="auto"/>
          <w:sz w:val="21"/>
          <w:szCs w:val="21"/>
          <w:highlight w:val="none"/>
        </w:rPr>
        <w:t>付款</w:t>
      </w:r>
      <w:bookmarkEnd w:id="1002"/>
      <w:bookmarkEnd w:id="1003"/>
    </w:p>
    <w:bookmarkEnd w:id="1004"/>
    <w:bookmarkEnd w:id="1005"/>
    <w:bookmarkEnd w:id="1006"/>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12.2.1预付款的支付</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除专用合同条款另有约定外，预付款在进度付款中同比例扣回。</w:t>
      </w:r>
      <w:bookmarkEnd w:id="983"/>
      <w:r>
        <w:rPr>
          <w:rFonts w:hint="eastAsia" w:ascii="宋体" w:hAnsi="宋体"/>
          <w:color w:val="auto"/>
          <w:kern w:val="0"/>
          <w:szCs w:val="21"/>
          <w:highlight w:val="none"/>
        </w:rPr>
        <w:t>在颁发工程接收证书前，提前解除合同的，尚未扣完的预付款应与合同价款一并结算。</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12.2.2 预付款担保</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发包人在工程款中逐期扣回预付款后，预付款担保额度应相应减少，但剩余的预付款担保金额不得低于未被扣回的预付款金额。</w:t>
      </w:r>
    </w:p>
    <w:p>
      <w:pPr>
        <w:pStyle w:val="7"/>
        <w:spacing w:before="0" w:beforeAutospacing="0" w:after="0" w:afterAutospacing="0" w:line="360" w:lineRule="auto"/>
        <w:ind w:firstLine="422" w:firstLineChars="200"/>
        <w:rPr>
          <w:color w:val="auto"/>
          <w:sz w:val="21"/>
          <w:szCs w:val="21"/>
          <w:highlight w:val="none"/>
        </w:rPr>
      </w:pPr>
      <w:bookmarkStart w:id="1007" w:name="_Toc532377271"/>
      <w:bookmarkStart w:id="1008" w:name="_Toc351203583"/>
      <w:bookmarkStart w:id="1009" w:name="_Toc337558802"/>
      <w:r>
        <w:rPr>
          <w:rFonts w:hint="eastAsia"/>
          <w:color w:val="auto"/>
          <w:sz w:val="21"/>
          <w:szCs w:val="21"/>
          <w:highlight w:val="none"/>
        </w:rPr>
        <w:t>12.3计量</w:t>
      </w:r>
      <w:bookmarkEnd w:id="1007"/>
      <w:bookmarkEnd w:id="1008"/>
    </w:p>
    <w:bookmarkEnd w:id="1009"/>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12.3.1 计量原则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12.3.2 计量周期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除专用合同条款另有约定外，工程量的计量按月进行。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12.3.3 单价合同的计量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除专用合同条款另有约定外，单价合同的计量按照本项约定执行：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12.3.4 总价合同的计量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除专用合同条款另有约定外，按月计量支付的总价合同，按照本项约定执行：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12.3.6 其他价格形式合同的计量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合同当事人可在专用合同条款中约定其他价格形式合同的计量方式和程序。</w:t>
      </w:r>
    </w:p>
    <w:p>
      <w:pPr>
        <w:pStyle w:val="7"/>
        <w:spacing w:before="0" w:beforeAutospacing="0" w:after="0" w:afterAutospacing="0" w:line="360" w:lineRule="auto"/>
        <w:ind w:firstLine="422" w:firstLineChars="200"/>
        <w:rPr>
          <w:color w:val="auto"/>
          <w:sz w:val="21"/>
          <w:szCs w:val="21"/>
          <w:highlight w:val="none"/>
        </w:rPr>
      </w:pPr>
      <w:bookmarkStart w:id="1010" w:name="_Toc296346602"/>
      <w:bookmarkStart w:id="1011" w:name="_Toc296503101"/>
      <w:bookmarkStart w:id="1012" w:name="_Toc532377272"/>
      <w:bookmarkStart w:id="1013" w:name="_Toc351203584"/>
      <w:bookmarkStart w:id="1014" w:name="_Toc337558803"/>
      <w:r>
        <w:rPr>
          <w:rFonts w:hint="eastAsia"/>
          <w:color w:val="auto"/>
          <w:sz w:val="21"/>
          <w:szCs w:val="21"/>
          <w:highlight w:val="none"/>
        </w:rPr>
        <w:t>12.4工程进度款支</w:t>
      </w:r>
      <w:bookmarkEnd w:id="1010"/>
      <w:bookmarkEnd w:id="1011"/>
      <w:r>
        <w:rPr>
          <w:rFonts w:hint="eastAsia"/>
          <w:color w:val="auto"/>
          <w:sz w:val="21"/>
          <w:szCs w:val="21"/>
          <w:highlight w:val="none"/>
        </w:rPr>
        <w:t>付</w:t>
      </w:r>
      <w:bookmarkEnd w:id="1012"/>
      <w:bookmarkEnd w:id="1013"/>
    </w:p>
    <w:bookmarkEnd w:id="1014"/>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12.4.1 付款周期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除专用合同条款另有约定外，付款周期应按照第12.3.2项〔计量周期〕的约定与计量周期保持一致。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12.4.2 进度付款申请单的编制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除专用合同条款另有约定外，进度付款申请单应包括下列内容：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（1）截至本次付款周期已完成工作对应的金额；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（2）根据第10条〔变更〕应增加和扣减的变更金额；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（3）根据第12.2款〔预付款〕约定应支付的预付款和扣减的返还预付款；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（4）根据第15.3款〔质量保证金〕约定应扣减的质量保证金；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（5）根据第19条〔索赔〕应增加和扣减的索赔金额；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（6）对已签发的进度款支付证书中出现错误的修正，应在本次进度付款中支付或扣除的金额；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（7）根据合同约定应增加和扣减的其他金额。</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12.4.3 进度付款申请单的提交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（1）单价合同进度付款申请单的提交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（2）总价合同进度付款申请单的提交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（3）其他价格形式合同的进度付款申请单的提交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合同当事人可在专用合同条款中约定其他价格形式合同的进度付款申请单的编制和提交程序。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12.4.4 进度款审核和支付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（3）发包人签发进度款支付证书或临时进度款支付证书，不表明发包人已同意、批准或接受了承包人完成的相应部分的工作。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12.4.5 进度付款的修正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12.4.6 支付分解表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1.支付分解表的编制要求</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（1）支付分解表中所列的每期付款金额，应为第12.4.2项〔进度付款申请单的编制〕第（1）目的估算金额；</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（2）实际进度与施工进度计划不一致的，合同当事人可按照第4.4款〔商定或确定〕修改支付分解表；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（3）不采用支付分解表的，承包人应向发包人和监理人提交按季度编制的支付估算分解表，用于支付参考。</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2.总价合同支付分解表的编制与审批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3.单价合同的总价项目支付分解表的编制与审批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beforeAutospacing="0" w:after="0" w:afterAutospacing="0" w:line="360" w:lineRule="auto"/>
        <w:ind w:firstLine="422" w:firstLineChars="200"/>
        <w:rPr>
          <w:color w:val="auto"/>
          <w:sz w:val="21"/>
          <w:szCs w:val="21"/>
          <w:highlight w:val="none"/>
        </w:rPr>
      </w:pPr>
      <w:bookmarkStart w:id="1015" w:name="_Toc532377273"/>
      <w:r>
        <w:rPr>
          <w:rFonts w:hint="eastAsia"/>
          <w:color w:val="auto"/>
          <w:sz w:val="21"/>
          <w:szCs w:val="21"/>
          <w:highlight w:val="none"/>
        </w:rPr>
        <w:t>12.5支付账户</w:t>
      </w:r>
      <w:bookmarkEnd w:id="1015"/>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发包人应将合同价款支付至合同协议书中约定的承包人账户。</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16" w:name="_Toc351203586"/>
      <w:bookmarkStart w:id="1017" w:name="_Toc532375599"/>
      <w:bookmarkStart w:id="1018" w:name="_Toc532377274"/>
      <w:bookmarkStart w:id="1019" w:name="_Toc296503106"/>
      <w:bookmarkStart w:id="1020" w:name="_Toc296346607"/>
      <w:bookmarkStart w:id="1021" w:name="_Toc337558804"/>
      <w:bookmarkStart w:id="1022" w:name="_Toc322522574"/>
      <w:r>
        <w:rPr>
          <w:rFonts w:hint="eastAsia"/>
          <w:color w:val="auto"/>
          <w:kern w:val="2"/>
          <w:sz w:val="21"/>
          <w:szCs w:val="21"/>
          <w:highlight w:val="none"/>
        </w:rPr>
        <w:t>13. 验收和工程试车</w:t>
      </w:r>
      <w:bookmarkEnd w:id="1016"/>
      <w:bookmarkEnd w:id="1017"/>
      <w:bookmarkEnd w:id="1018"/>
    </w:p>
    <w:bookmarkEnd w:id="1019"/>
    <w:bookmarkEnd w:id="1020"/>
    <w:bookmarkEnd w:id="1021"/>
    <w:bookmarkEnd w:id="1022"/>
    <w:p>
      <w:pPr>
        <w:pStyle w:val="7"/>
        <w:spacing w:before="0" w:beforeAutospacing="0" w:after="0" w:afterAutospacing="0" w:line="360" w:lineRule="auto"/>
        <w:ind w:firstLine="422" w:firstLineChars="200"/>
        <w:rPr>
          <w:color w:val="auto"/>
          <w:sz w:val="21"/>
          <w:szCs w:val="21"/>
          <w:highlight w:val="none"/>
        </w:rPr>
      </w:pPr>
      <w:bookmarkStart w:id="1023" w:name="_Toc532377275"/>
      <w:bookmarkStart w:id="1024" w:name="_Toc351203587"/>
      <w:bookmarkStart w:id="1025" w:name="_Toc337558805"/>
      <w:bookmarkStart w:id="1026" w:name="_Toc296346611"/>
      <w:bookmarkStart w:id="1027" w:name="_Toc296503110"/>
      <w:r>
        <w:rPr>
          <w:rFonts w:hint="eastAsia"/>
          <w:color w:val="auto"/>
          <w:sz w:val="21"/>
          <w:szCs w:val="21"/>
          <w:highlight w:val="none"/>
        </w:rPr>
        <w:t>13.1分部分项工程验收</w:t>
      </w:r>
      <w:bookmarkEnd w:id="1023"/>
      <w:bookmarkEnd w:id="1024"/>
    </w:p>
    <w:bookmarkEnd w:id="1025"/>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13.1.1 分部分项工程质量应符合国家有关工程施工验收规范、标准及合同约定，承包人应按照施工组织设计的要求完成分部分项工程施工。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分部分项工程的验收资料应当作为竣工资料的组成部分。</w:t>
      </w:r>
    </w:p>
    <w:p>
      <w:pPr>
        <w:pStyle w:val="7"/>
        <w:spacing w:before="0" w:beforeAutospacing="0" w:after="0" w:afterAutospacing="0" w:line="360" w:lineRule="auto"/>
        <w:ind w:firstLine="422" w:firstLineChars="200"/>
        <w:rPr>
          <w:color w:val="auto"/>
          <w:sz w:val="21"/>
          <w:szCs w:val="21"/>
          <w:highlight w:val="none"/>
        </w:rPr>
      </w:pPr>
      <w:bookmarkStart w:id="1028" w:name="_Toc532377276"/>
      <w:bookmarkStart w:id="1029" w:name="_Toc351203588"/>
      <w:bookmarkStart w:id="1030" w:name="_Toc337558806"/>
      <w:r>
        <w:rPr>
          <w:rFonts w:hint="eastAsia"/>
          <w:color w:val="auto"/>
          <w:sz w:val="21"/>
          <w:szCs w:val="21"/>
          <w:highlight w:val="none"/>
        </w:rPr>
        <w:t>13.2竣工验收</w:t>
      </w:r>
      <w:bookmarkEnd w:id="1028"/>
      <w:bookmarkEnd w:id="1029"/>
    </w:p>
    <w:bookmarkEnd w:id="1026"/>
    <w:bookmarkEnd w:id="1027"/>
    <w:bookmarkEnd w:id="1030"/>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13.2.1竣工验收条件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工程具备以下条件的，承包人可以申请竣工验收：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（2）已按合同约定编制了甩项工作和缺陷修补工作清单以及相应的施工计划；</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（3）已按合同约定的内容和份数备齐竣工资料。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13.2.2竣工验收程序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除专用合同条款另有约定外，承包人申请竣工验收的，应当按照以下程序进行：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13.2.3竣工日期</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31" w:name="#go14"/>
      <w:bookmarkEnd w:id="1031"/>
      <w:r>
        <w:rPr>
          <w:rFonts w:hint="eastAsia" w:ascii="宋体" w:hAnsi="宋体"/>
          <w:color w:val="auto"/>
          <w:kern w:val="0"/>
          <w:szCs w:val="21"/>
          <w:highlight w:val="none"/>
        </w:rPr>
        <w:t>收申请报告的日期为实际竣工日期；工程未经竣工验收，发包人擅自使用的，以转移占有工程之日为实际竣工日期。</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13.2.4 拒绝接收全部或部分工程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13.2.5 移交、接收全部与部分工程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除专用合同条款另有约定外，合同当事人应当在颁发工程接收证书后7天内完成工程的移交。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beforeAutospacing="0" w:after="0" w:afterAutospacing="0" w:line="360" w:lineRule="auto"/>
        <w:ind w:firstLine="422" w:firstLineChars="200"/>
        <w:rPr>
          <w:color w:val="auto"/>
          <w:sz w:val="21"/>
          <w:szCs w:val="21"/>
          <w:highlight w:val="none"/>
        </w:rPr>
      </w:pPr>
      <w:bookmarkStart w:id="1032" w:name="_Toc532377277"/>
      <w:bookmarkStart w:id="1033" w:name="_Toc351203589"/>
      <w:bookmarkStart w:id="1034" w:name="_Toc296346612"/>
      <w:bookmarkStart w:id="1035" w:name="_Toc296503111"/>
      <w:bookmarkStart w:id="1036" w:name="_Toc337558807"/>
      <w:r>
        <w:rPr>
          <w:rFonts w:hint="eastAsia"/>
          <w:color w:val="auto"/>
          <w:sz w:val="21"/>
          <w:szCs w:val="21"/>
          <w:highlight w:val="none"/>
        </w:rPr>
        <w:t>13.3工程试车</w:t>
      </w:r>
      <w:bookmarkEnd w:id="1032"/>
      <w:bookmarkEnd w:id="1033"/>
    </w:p>
    <w:bookmarkEnd w:id="1034"/>
    <w:bookmarkEnd w:id="1035"/>
    <w:bookmarkEnd w:id="1036"/>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13.3.1试车程序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13.3.2 试车中的责任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13.3.3 投料试车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beforeAutospacing="0" w:after="0" w:afterAutospacing="0" w:line="360" w:lineRule="auto"/>
        <w:ind w:firstLine="422" w:firstLineChars="200"/>
        <w:rPr>
          <w:color w:val="auto"/>
          <w:sz w:val="21"/>
          <w:szCs w:val="21"/>
          <w:highlight w:val="none"/>
        </w:rPr>
      </w:pPr>
      <w:bookmarkStart w:id="1037" w:name="_Toc532377278"/>
      <w:r>
        <w:rPr>
          <w:rFonts w:hint="eastAsia"/>
          <w:color w:val="auto"/>
          <w:sz w:val="21"/>
          <w:szCs w:val="21"/>
          <w:highlight w:val="none"/>
        </w:rPr>
        <w:t>13.4提前交付单位工程的验收</w:t>
      </w:r>
      <w:bookmarkEnd w:id="1037"/>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13.4.2 发包人要求在工程竣工前交付单位工程，由此导致承包人费用增加和（或）工期延误的，由发包人承担由此增加的费用和（或）延误的工期，并支付承包人合理的利润。</w:t>
      </w:r>
    </w:p>
    <w:p>
      <w:pPr>
        <w:pStyle w:val="7"/>
        <w:spacing w:before="0" w:beforeAutospacing="0" w:after="0" w:afterAutospacing="0" w:line="360" w:lineRule="auto"/>
        <w:ind w:firstLine="422" w:firstLineChars="200"/>
        <w:rPr>
          <w:color w:val="auto"/>
          <w:sz w:val="21"/>
          <w:szCs w:val="21"/>
          <w:highlight w:val="none"/>
        </w:rPr>
      </w:pPr>
      <w:bookmarkStart w:id="1038" w:name="_Toc532377279"/>
      <w:bookmarkStart w:id="1039" w:name="_Toc351203591"/>
      <w:r>
        <w:rPr>
          <w:rFonts w:hint="eastAsia"/>
          <w:color w:val="auto"/>
          <w:sz w:val="21"/>
          <w:szCs w:val="21"/>
          <w:highlight w:val="none"/>
        </w:rPr>
        <w:t>13.5 施工期运行</w:t>
      </w:r>
      <w:bookmarkEnd w:id="1038"/>
      <w:bookmarkEnd w:id="1039"/>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13.5.2 在施工期运行中发现工程或工程设备损坏或存在缺陷的，由承包人按第15.2款〔缺陷责任期〕约定进行修复。</w:t>
      </w:r>
    </w:p>
    <w:p>
      <w:pPr>
        <w:pStyle w:val="7"/>
        <w:spacing w:before="0" w:beforeAutospacing="0" w:after="0" w:afterAutospacing="0" w:line="360" w:lineRule="auto"/>
        <w:ind w:firstLine="422" w:firstLineChars="200"/>
        <w:rPr>
          <w:color w:val="auto"/>
          <w:sz w:val="21"/>
          <w:szCs w:val="21"/>
          <w:highlight w:val="none"/>
        </w:rPr>
      </w:pPr>
      <w:bookmarkStart w:id="1040" w:name="_Toc296346613"/>
      <w:bookmarkStart w:id="1041" w:name="_Toc296503112"/>
      <w:bookmarkStart w:id="1042" w:name="_Toc532377280"/>
      <w:bookmarkStart w:id="1043" w:name="_Toc351203592"/>
      <w:bookmarkStart w:id="1044" w:name="_Toc337558809"/>
      <w:r>
        <w:rPr>
          <w:rFonts w:hint="eastAsia"/>
          <w:color w:val="auto"/>
          <w:sz w:val="21"/>
          <w:szCs w:val="21"/>
          <w:highlight w:val="none"/>
        </w:rPr>
        <w:t>13.6 竣工退</w:t>
      </w:r>
      <w:bookmarkEnd w:id="1040"/>
      <w:bookmarkEnd w:id="1041"/>
      <w:r>
        <w:rPr>
          <w:rFonts w:hint="eastAsia"/>
          <w:color w:val="auto"/>
          <w:sz w:val="21"/>
          <w:szCs w:val="21"/>
          <w:highlight w:val="none"/>
        </w:rPr>
        <w:t>场</w:t>
      </w:r>
      <w:bookmarkEnd w:id="1042"/>
      <w:bookmarkEnd w:id="1043"/>
    </w:p>
    <w:bookmarkEnd w:id="1044"/>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13.6.1 竣工退场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颁发工程接收证书后，承包人应按以下要求对施工现场进行清理：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（1）施工现场内残留的垃圾已全部清除出场；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（2）临时工程已拆除，场地已进行清理、平整或复原；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（3）按合同约定应撤离的人员、承包人施工设备和剩余的材料，包括废弃的施工设备和材料，已按计划撤离施工现场；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（4）施工现场周边及其附近道路、河道的施工堆积物，已全部清理；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（5）施工现场其他场地清理工作已全部完成。</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13.6.2 地表还原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45" w:name="_Toc532377281"/>
      <w:bookmarkStart w:id="1046" w:name="_Toc351203593"/>
      <w:bookmarkStart w:id="1047" w:name="_Toc532375600"/>
      <w:bookmarkStart w:id="1048" w:name="_Toc337558810"/>
      <w:bookmarkStart w:id="1049" w:name="_Toc296346614"/>
      <w:bookmarkStart w:id="1050" w:name="_Toc296503113"/>
      <w:r>
        <w:rPr>
          <w:rFonts w:hint="eastAsia"/>
          <w:color w:val="auto"/>
          <w:kern w:val="2"/>
          <w:sz w:val="21"/>
          <w:szCs w:val="21"/>
          <w:highlight w:val="none"/>
        </w:rPr>
        <w:t>14. 竣工结算</w:t>
      </w:r>
      <w:bookmarkEnd w:id="1045"/>
      <w:bookmarkEnd w:id="1046"/>
      <w:bookmarkEnd w:id="1047"/>
    </w:p>
    <w:bookmarkEnd w:id="1048"/>
    <w:p>
      <w:pPr>
        <w:pStyle w:val="7"/>
        <w:spacing w:before="0" w:beforeAutospacing="0" w:after="0" w:afterAutospacing="0" w:line="360" w:lineRule="auto"/>
        <w:ind w:firstLine="422" w:firstLineChars="200"/>
        <w:rPr>
          <w:color w:val="auto"/>
          <w:sz w:val="21"/>
          <w:szCs w:val="21"/>
          <w:highlight w:val="none"/>
        </w:rPr>
      </w:pPr>
      <w:bookmarkStart w:id="1051" w:name="_Toc532377282"/>
      <w:bookmarkStart w:id="1052" w:name="_Toc351203594"/>
      <w:bookmarkStart w:id="1053" w:name="_Toc337558811"/>
      <w:r>
        <w:rPr>
          <w:rFonts w:hint="eastAsia"/>
          <w:color w:val="auto"/>
          <w:sz w:val="21"/>
          <w:szCs w:val="21"/>
          <w:highlight w:val="none"/>
        </w:rPr>
        <w:t>14.1 竣工结算申请</w:t>
      </w:r>
      <w:bookmarkEnd w:id="1051"/>
      <w:bookmarkEnd w:id="1052"/>
    </w:p>
    <w:bookmarkEnd w:id="105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除专用合同条款另有约定外，竣工结算申请单应包括以下内容：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（1）竣工结算合同价格；</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（2）发包人已支付承包人的款项；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（3）应扣留的质量保证金。已缴纳履约保证金的或提供其他工程质量担保方式的除外；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（4）发包人应支付承包人的合同价款。</w:t>
      </w:r>
    </w:p>
    <w:p>
      <w:pPr>
        <w:pStyle w:val="7"/>
        <w:spacing w:before="0" w:beforeAutospacing="0" w:after="0" w:afterAutospacing="0" w:line="360" w:lineRule="auto"/>
        <w:ind w:firstLine="422" w:firstLineChars="200"/>
        <w:rPr>
          <w:color w:val="auto"/>
          <w:sz w:val="21"/>
          <w:szCs w:val="21"/>
          <w:highlight w:val="none"/>
        </w:rPr>
      </w:pPr>
      <w:bookmarkStart w:id="1054" w:name="_Toc351203595"/>
      <w:bookmarkStart w:id="1055" w:name="_Toc532377283"/>
      <w:bookmarkStart w:id="1056" w:name="_Toc337558812"/>
      <w:r>
        <w:rPr>
          <w:rFonts w:hint="eastAsia"/>
          <w:color w:val="auto"/>
          <w:sz w:val="21"/>
          <w:szCs w:val="21"/>
          <w:highlight w:val="none"/>
        </w:rPr>
        <w:t>14.2 竣工结算审核</w:t>
      </w:r>
      <w:bookmarkEnd w:id="1054"/>
      <w:bookmarkEnd w:id="1055"/>
    </w:p>
    <w:bookmarkEnd w:id="105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beforeAutospacing="0" w:after="0" w:afterAutospacing="0" w:line="360" w:lineRule="auto"/>
        <w:ind w:firstLine="422" w:firstLineChars="200"/>
        <w:rPr>
          <w:color w:val="auto"/>
          <w:sz w:val="21"/>
          <w:szCs w:val="21"/>
          <w:highlight w:val="none"/>
        </w:rPr>
      </w:pPr>
      <w:bookmarkStart w:id="1057" w:name="_Toc351203596"/>
      <w:bookmarkStart w:id="1058" w:name="_Toc532377284"/>
      <w:bookmarkStart w:id="1059" w:name="_Toc337558813"/>
      <w:r>
        <w:rPr>
          <w:rFonts w:hint="eastAsia"/>
          <w:color w:val="auto"/>
          <w:sz w:val="21"/>
          <w:szCs w:val="21"/>
          <w:highlight w:val="none"/>
        </w:rPr>
        <w:t>14.3 甩项竣工协议</w:t>
      </w:r>
      <w:bookmarkEnd w:id="1057"/>
      <w:bookmarkEnd w:id="1058"/>
    </w:p>
    <w:bookmarkEnd w:id="1059"/>
    <w:p>
      <w:pPr>
        <w:autoSpaceDE w:val="0"/>
        <w:autoSpaceDN w:val="0"/>
        <w:spacing w:line="360" w:lineRule="auto"/>
        <w:ind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beforeAutospacing="0" w:after="0" w:afterAutospacing="0" w:line="360" w:lineRule="auto"/>
        <w:ind w:firstLine="422" w:firstLineChars="200"/>
        <w:rPr>
          <w:color w:val="auto"/>
          <w:sz w:val="21"/>
          <w:szCs w:val="21"/>
          <w:highlight w:val="none"/>
        </w:rPr>
      </w:pPr>
      <w:bookmarkStart w:id="1060" w:name="_Toc351203597"/>
      <w:bookmarkStart w:id="1061" w:name="_Toc532377285"/>
      <w:bookmarkStart w:id="1062" w:name="_Toc337558814"/>
      <w:r>
        <w:rPr>
          <w:rFonts w:hint="eastAsia"/>
          <w:color w:val="auto"/>
          <w:sz w:val="21"/>
          <w:szCs w:val="21"/>
          <w:highlight w:val="none"/>
        </w:rPr>
        <w:t>14.4 最终结清</w:t>
      </w:r>
      <w:bookmarkEnd w:id="1060"/>
      <w:bookmarkEnd w:id="1061"/>
    </w:p>
    <w:bookmarkEnd w:id="106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14.4.1 最终结清申请单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除专用合同条款另有约定外，最终结清申请单应列明质量保证金、应扣除的质量保证金、缺陷责任期内发生的增减费用。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14.4.2 最终结清证书和支付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（3）承包人对发包人颁发的最终结清证书有异议的，按第20条〔争议解决〕的约定办理。</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63" w:name="_Toc532377286"/>
      <w:bookmarkStart w:id="1064" w:name="_Toc532375601"/>
      <w:bookmarkStart w:id="1065" w:name="_Toc351203598"/>
      <w:bookmarkStart w:id="1066" w:name="_Toc337558815"/>
      <w:r>
        <w:rPr>
          <w:rFonts w:hint="eastAsia"/>
          <w:color w:val="auto"/>
          <w:kern w:val="2"/>
          <w:sz w:val="21"/>
          <w:szCs w:val="21"/>
          <w:highlight w:val="none"/>
        </w:rPr>
        <w:t>15. 缺陷责任与保修</w:t>
      </w:r>
      <w:bookmarkEnd w:id="1063"/>
      <w:bookmarkEnd w:id="1064"/>
      <w:bookmarkEnd w:id="1065"/>
    </w:p>
    <w:bookmarkEnd w:id="1049"/>
    <w:bookmarkEnd w:id="1050"/>
    <w:bookmarkEnd w:id="1066"/>
    <w:p>
      <w:pPr>
        <w:pStyle w:val="7"/>
        <w:spacing w:before="0" w:beforeAutospacing="0" w:after="0" w:afterAutospacing="0" w:line="360" w:lineRule="auto"/>
        <w:ind w:firstLine="422" w:firstLineChars="200"/>
        <w:rPr>
          <w:color w:val="auto"/>
          <w:sz w:val="21"/>
          <w:szCs w:val="21"/>
          <w:highlight w:val="none"/>
        </w:rPr>
      </w:pPr>
      <w:bookmarkStart w:id="1067" w:name="_Toc351203599"/>
      <w:bookmarkStart w:id="1068" w:name="_Toc532377287"/>
      <w:bookmarkStart w:id="1069" w:name="_Toc337558816"/>
      <w:bookmarkStart w:id="1070" w:name="_Toc296503114"/>
      <w:bookmarkStart w:id="1071" w:name="_Toc296346615"/>
      <w:r>
        <w:rPr>
          <w:rFonts w:hint="eastAsia"/>
          <w:color w:val="auto"/>
          <w:sz w:val="21"/>
          <w:szCs w:val="21"/>
          <w:highlight w:val="none"/>
        </w:rPr>
        <w:t>15.1 工程保修的原则</w:t>
      </w:r>
      <w:bookmarkEnd w:id="1067"/>
      <w:bookmarkEnd w:id="1068"/>
    </w:p>
    <w:bookmarkEnd w:id="106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pPr>
        <w:pStyle w:val="7"/>
        <w:spacing w:before="0" w:beforeAutospacing="0" w:after="0" w:afterAutospacing="0" w:line="360" w:lineRule="auto"/>
        <w:ind w:firstLine="422" w:firstLineChars="200"/>
        <w:rPr>
          <w:color w:val="auto"/>
          <w:sz w:val="21"/>
          <w:szCs w:val="21"/>
          <w:highlight w:val="none"/>
        </w:rPr>
      </w:pPr>
      <w:bookmarkStart w:id="1072" w:name="_Toc532377288"/>
      <w:bookmarkStart w:id="1073" w:name="_Toc351203600"/>
      <w:bookmarkStart w:id="1074" w:name="_Toc337558817"/>
      <w:r>
        <w:rPr>
          <w:rFonts w:hint="eastAsia"/>
          <w:color w:val="auto"/>
          <w:sz w:val="21"/>
          <w:szCs w:val="21"/>
          <w:highlight w:val="none"/>
        </w:rPr>
        <w:t>15.2 缺陷责任期</w:t>
      </w:r>
      <w:bookmarkEnd w:id="1070"/>
      <w:bookmarkEnd w:id="1071"/>
      <w:bookmarkEnd w:id="1072"/>
      <w:bookmarkEnd w:id="1073"/>
    </w:p>
    <w:bookmarkEnd w:id="107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由他人原因造成的缺陷，发包人负责组织维修，承包人不承担费用，且发包人不得从保证金中扣除费用。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beforeAutospacing="0" w:after="0" w:afterAutospacing="0" w:line="360" w:lineRule="auto"/>
        <w:ind w:firstLine="422" w:firstLineChars="200"/>
        <w:rPr>
          <w:color w:val="auto"/>
          <w:sz w:val="21"/>
          <w:szCs w:val="21"/>
          <w:highlight w:val="none"/>
        </w:rPr>
      </w:pPr>
      <w:bookmarkStart w:id="1075" w:name="_Toc532377289"/>
      <w:bookmarkStart w:id="1076" w:name="_Toc351203601"/>
      <w:bookmarkStart w:id="1077" w:name="_Toc337558818"/>
      <w:bookmarkStart w:id="1078" w:name="_Toc296503115"/>
      <w:bookmarkStart w:id="1079" w:name="_Toc296346616"/>
      <w:r>
        <w:rPr>
          <w:rFonts w:hint="eastAsia"/>
          <w:color w:val="auto"/>
          <w:sz w:val="21"/>
          <w:szCs w:val="21"/>
          <w:highlight w:val="none"/>
        </w:rPr>
        <w:t>15.3 质量保证金</w:t>
      </w:r>
      <w:bookmarkEnd w:id="1075"/>
      <w:bookmarkEnd w:id="1076"/>
    </w:p>
    <w:bookmarkEnd w:id="1077"/>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经合同当事人协商一致扣留质量保证金的，应在专用合同条款中予以明确。</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在工程项目竣工前，承包人已经提供履约担保的，发包人不得同时预留工程质量保证金。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15.3.1 承包人提供质量保证金的方式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承包人提供质量保证金有以下三种方式：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（1）质量保证金保函；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（2）相应比例的工程款；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除专用合同条款另有约定外，质量保证金原则上采用上述第（1）种方式。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15.3.2 质量保证金的扣留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质量保证金的扣留有以下三种方式：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（1）在支付工程进度款时逐次扣留，在此情形下，质量保证金的计算基数不包括预付款的支付、扣回以及价格调整的金额；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w:t>
      </w:r>
      <w:bookmarkStart w:id="1080" w:name="#go6"/>
      <w:bookmarkEnd w:id="1080"/>
      <w:r>
        <w:rPr>
          <w:rFonts w:hint="eastAsia" w:ascii="宋体" w:hAnsi="宋体"/>
          <w:color w:val="auto"/>
          <w:kern w:val="0"/>
          <w:szCs w:val="21"/>
          <w:highlight w:val="none"/>
        </w:rPr>
        <w:t>程竣工结算时一次性扣留质量保证金；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（3）双方约定的其他扣留方式。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除专用合同条款另有约定外，质量保证金的扣留原则上采用上述第（1）种方式。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w:t>
      </w:r>
      <w:bookmarkStart w:id="1081" w:name="#go4"/>
      <w:bookmarkEnd w:id="1081"/>
      <w:r>
        <w:rPr>
          <w:rFonts w:hint="eastAsia" w:ascii="宋体" w:hAnsi="宋体"/>
          <w:color w:val="auto"/>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发包人在退还质量保证金的同时按照中国人民银行发布的同期同类贷款基准利率支付利息。</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15.3.3 质量保证金的退还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缺陷责任期内，承包人认真履行合同约定的责任，到期后，承包人可向发包人申请返还保证金。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发包人和承包人对保证金预留、返还以及工程维修质量、费用有争议的，按合同第20条约定的争议和纠纷解决程序处理。</w:t>
      </w:r>
    </w:p>
    <w:p>
      <w:pPr>
        <w:pStyle w:val="7"/>
        <w:spacing w:before="0" w:beforeAutospacing="0" w:after="0" w:afterAutospacing="0" w:line="360" w:lineRule="auto"/>
        <w:ind w:firstLine="422" w:firstLineChars="200"/>
        <w:rPr>
          <w:color w:val="auto"/>
          <w:sz w:val="21"/>
          <w:szCs w:val="21"/>
          <w:highlight w:val="none"/>
        </w:rPr>
      </w:pPr>
      <w:bookmarkStart w:id="1082" w:name="_Toc532377290"/>
      <w:bookmarkStart w:id="1083" w:name="_Toc351203602"/>
      <w:bookmarkStart w:id="1084" w:name="_Toc337558819"/>
      <w:r>
        <w:rPr>
          <w:rFonts w:hint="eastAsia"/>
          <w:color w:val="auto"/>
          <w:sz w:val="21"/>
          <w:szCs w:val="21"/>
          <w:highlight w:val="none"/>
        </w:rPr>
        <w:t>15.4 保修</w:t>
      </w:r>
      <w:bookmarkEnd w:id="1082"/>
      <w:bookmarkEnd w:id="1083"/>
    </w:p>
    <w:bookmarkEnd w:id="1078"/>
    <w:bookmarkEnd w:id="1079"/>
    <w:bookmarkEnd w:id="108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15.4.1保修责任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发包人未经竣工验收擅自使用工程的，保修期自转移占有之日起算。</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15.4.2 修复费用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保修期内，修复的费用按照以下约定处理：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（2）保修期内，因发包人使用不当造成工程的缺陷、损坏，可以委托承包人修复，但发包人应承担修复的费用，并支付承包人合理利润；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15.4.3 修复通知</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15.4.4 未能修复</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15.4.5 承包人出入权</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85" w:name="_Toc532377291"/>
      <w:bookmarkStart w:id="1086" w:name="_Toc532375602"/>
      <w:bookmarkStart w:id="1087" w:name="_Toc351203603"/>
      <w:bookmarkStart w:id="1088" w:name="_Toc337558820"/>
      <w:r>
        <w:rPr>
          <w:rFonts w:hint="eastAsia"/>
          <w:color w:val="auto"/>
          <w:kern w:val="2"/>
          <w:sz w:val="21"/>
          <w:szCs w:val="21"/>
          <w:highlight w:val="none"/>
        </w:rPr>
        <w:t>16. 违约</w:t>
      </w:r>
      <w:bookmarkEnd w:id="1085"/>
      <w:bookmarkEnd w:id="1086"/>
      <w:bookmarkEnd w:id="1087"/>
    </w:p>
    <w:bookmarkEnd w:id="1088"/>
    <w:p>
      <w:pPr>
        <w:pStyle w:val="7"/>
        <w:spacing w:before="0" w:beforeAutospacing="0" w:after="0" w:afterAutospacing="0" w:line="360" w:lineRule="auto"/>
        <w:ind w:firstLine="422" w:firstLineChars="200"/>
        <w:rPr>
          <w:color w:val="auto"/>
          <w:sz w:val="21"/>
          <w:szCs w:val="21"/>
          <w:highlight w:val="none"/>
        </w:rPr>
      </w:pPr>
      <w:bookmarkStart w:id="1089" w:name="_Toc296503129"/>
      <w:bookmarkStart w:id="1090" w:name="_Toc296346630"/>
      <w:bookmarkStart w:id="1091" w:name="_Toc532377292"/>
      <w:bookmarkStart w:id="1092" w:name="_Toc351203604"/>
      <w:bookmarkStart w:id="1093" w:name="_Toc337558821"/>
      <w:r>
        <w:rPr>
          <w:rFonts w:hint="eastAsia"/>
          <w:color w:val="auto"/>
          <w:sz w:val="21"/>
          <w:szCs w:val="21"/>
          <w:highlight w:val="none"/>
        </w:rPr>
        <w:t>16.1 发</w:t>
      </w:r>
      <w:bookmarkEnd w:id="1089"/>
      <w:bookmarkEnd w:id="1090"/>
      <w:r>
        <w:rPr>
          <w:rFonts w:hint="eastAsia"/>
          <w:color w:val="auto"/>
          <w:sz w:val="21"/>
          <w:szCs w:val="21"/>
          <w:highlight w:val="none"/>
        </w:rPr>
        <w:t>包人违约</w:t>
      </w:r>
      <w:bookmarkEnd w:id="1091"/>
      <w:bookmarkEnd w:id="1092"/>
    </w:p>
    <w:bookmarkEnd w:id="109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16.1.1 发包人违约的情形</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在合同履行过程中发生的下列情形，属于发包人违约：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（1）因发包人原因未能在计划开工日期前7天内下达开工通知的；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（2）因发包人原因未能按合同约定支付合同价款的；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（3）发包人违反第10.1款〔变更的范围〕第（2）项约定，自行实施被取消的工作或转由他人实施的；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（4）发包人提供的材料、工程设备的规格、数量或质量不符合合同约定，或因发包人原因导致交货日期延误或交货地点变更等情况的；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（5）因发包人违反合同约定造成暂停施工的；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（6）发包人无正当理由没有在约定期限内发出复工指示，导致承包人无法复工的；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（7）发包人明确表示或者以其行为表明不履行合同主要义务的；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（8）发包人未能按照合同约定履行其他义务的。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16.1.2 发包人违约的责任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16.1.3 因发包人违约解除合同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16.1.4 因发包人违约解除合同后的付款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承包人按照本款约定解除合同的，发包人应在解除合同后28天内支付下列款项，并解除履约担保：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（1）合同解除前所完成工作的价款；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（2）承包人为工程施工订购并已付款的材料、工程设备和其他物品的价款；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（3）承包人撤离施工现场以及遣散承包人人员的款项；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（4）按照合同约定在合同解除前应支付的违约金；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（5）按照合同约定应当支付给承包人的其他款项；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（6）按照合同约定应退还的质量保证金；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（7）因解除合同给承包人造成的损失。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合同当事人未能就解除合同后的结清达成一致的，按照第20条〔争议解决〕的约定处理。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color w:val="auto"/>
          <w:sz w:val="21"/>
          <w:szCs w:val="21"/>
          <w:highlight w:val="none"/>
        </w:rPr>
      </w:pPr>
      <w:bookmarkStart w:id="1094" w:name="_Toc351203605"/>
      <w:bookmarkStart w:id="1095" w:name="_Toc532377293"/>
      <w:bookmarkStart w:id="1096" w:name="_Toc296346632"/>
      <w:bookmarkStart w:id="1097" w:name="_Toc337558822"/>
      <w:bookmarkStart w:id="1098" w:name="_Toc296503131"/>
      <w:r>
        <w:rPr>
          <w:rFonts w:hint="eastAsia"/>
          <w:color w:val="auto"/>
          <w:sz w:val="21"/>
          <w:szCs w:val="21"/>
          <w:highlight w:val="none"/>
        </w:rPr>
        <w:t>16.2 承包人违约</w:t>
      </w:r>
      <w:bookmarkEnd w:id="1094"/>
      <w:bookmarkEnd w:id="1095"/>
    </w:p>
    <w:bookmarkEnd w:id="1096"/>
    <w:bookmarkEnd w:id="1097"/>
    <w:bookmarkEnd w:id="109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16.2.1 承包人违约的情形</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在合同履行过程中发生的下列情形，属于承包人违约：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（1）承包人违反合同约定进行转包或违法分包的；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（2）承包人违反合同约定采购和使用不合格的材料和工程设备的；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（3）因承包人原因导致工程质量不符合合同要求的；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（4）承包人违反第8.9款〔材料与设备专用要求〕的约定，未经批准，私自将已按照合同约定进入施工现场的材料或设备撤离施工现场的；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（5）承包人未能按施工进度计划及时完成合同约定的工作，造成工期延误的；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（6）承包人在缺陷责任期及保修期内，未能在合理期限对工程缺陷进行修复，或拒绝按发包人要求进行修复的；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（7）承包人明确表示或者以其行为表明不履行合同主要义务的；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（8）承包人未能按照合同约定履行其他义务的。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承包人发生除本项第（7）目约定以外的其他违约情况时，监理人可向承包人发出整改通知，要求其在指定的期限内改正。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16.2.2 承包人违约的责任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16.2.3 因承包人违约解除合同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16.2.4因承包人违约解除合同后的处理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因承包人原因导致合同解除的，则合同当事人应在合同解除后28天内完成估价、付款和清算，并按以下约定执行：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（2）合同解除后，承包人应支付的违约金；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（3）合同解除后，因解除合同给发包人造成的损失；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（4）合同解除后，承包人应按照发包人要求和监理人的指示完成现场的清理和撤离；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（5）发包人和承包人应在合同解除后进行清算，出具最终结清付款证书，结清全部款项。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16.2.5采购合同权益转让</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beforeAutospacing="0" w:after="0" w:afterAutospacing="0" w:line="360" w:lineRule="auto"/>
        <w:ind w:firstLine="422" w:firstLineChars="200"/>
        <w:rPr>
          <w:color w:val="auto"/>
          <w:sz w:val="21"/>
          <w:szCs w:val="21"/>
          <w:highlight w:val="none"/>
        </w:rPr>
      </w:pPr>
      <w:bookmarkStart w:id="1099" w:name="_Toc351203606"/>
      <w:bookmarkStart w:id="1100" w:name="_Toc532377294"/>
      <w:r>
        <w:rPr>
          <w:rFonts w:hint="eastAsia"/>
          <w:color w:val="auto"/>
          <w:sz w:val="21"/>
          <w:szCs w:val="21"/>
          <w:highlight w:val="none"/>
        </w:rPr>
        <w:t>16.3 第三人造成的违约</w:t>
      </w:r>
      <w:bookmarkEnd w:id="1099"/>
      <w:bookmarkEnd w:id="1100"/>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01" w:name="_Toc296346617"/>
      <w:bookmarkStart w:id="1102" w:name="_Toc337558823"/>
      <w:bookmarkStart w:id="1103" w:name="_Toc532375603"/>
      <w:bookmarkStart w:id="1104" w:name="_Toc532377295"/>
      <w:bookmarkStart w:id="1105" w:name="_Toc351203607"/>
      <w:bookmarkStart w:id="1106" w:name="_Toc296503116"/>
      <w:r>
        <w:rPr>
          <w:rFonts w:hint="eastAsia"/>
          <w:color w:val="auto"/>
          <w:kern w:val="2"/>
          <w:sz w:val="21"/>
          <w:szCs w:val="21"/>
          <w:highlight w:val="none"/>
        </w:rPr>
        <w:t>17. 不可抗力</w:t>
      </w:r>
      <w:bookmarkEnd w:id="1101"/>
      <w:bookmarkEnd w:id="1102"/>
      <w:bookmarkEnd w:id="1103"/>
      <w:bookmarkEnd w:id="1104"/>
      <w:bookmarkEnd w:id="1105"/>
      <w:bookmarkEnd w:id="1106"/>
    </w:p>
    <w:p>
      <w:pPr>
        <w:pStyle w:val="7"/>
        <w:spacing w:before="0" w:beforeAutospacing="0" w:after="0" w:afterAutospacing="0" w:line="360" w:lineRule="auto"/>
        <w:ind w:firstLine="422" w:firstLineChars="200"/>
        <w:rPr>
          <w:color w:val="auto"/>
          <w:sz w:val="21"/>
          <w:szCs w:val="21"/>
          <w:highlight w:val="none"/>
        </w:rPr>
      </w:pPr>
      <w:bookmarkStart w:id="1107" w:name="_Toc532377296"/>
      <w:bookmarkStart w:id="1108" w:name="_Toc351203608"/>
      <w:bookmarkStart w:id="1109" w:name="_Toc337558824"/>
      <w:bookmarkStart w:id="1110" w:name="_Toc296346618"/>
      <w:bookmarkStart w:id="1111" w:name="_Toc296503117"/>
      <w:r>
        <w:rPr>
          <w:rFonts w:hint="eastAsia"/>
          <w:color w:val="auto"/>
          <w:sz w:val="21"/>
          <w:szCs w:val="21"/>
          <w:highlight w:val="none"/>
        </w:rPr>
        <w:t>17.1 不可抗力的确认</w:t>
      </w:r>
      <w:bookmarkEnd w:id="1107"/>
      <w:bookmarkEnd w:id="1108"/>
    </w:p>
    <w:bookmarkEnd w:id="1109"/>
    <w:bookmarkEnd w:id="1110"/>
    <w:bookmarkEnd w:id="1111"/>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beforeAutospacing="0" w:after="0" w:afterAutospacing="0" w:line="360" w:lineRule="auto"/>
        <w:ind w:firstLine="422" w:firstLineChars="200"/>
        <w:rPr>
          <w:color w:val="auto"/>
          <w:sz w:val="21"/>
          <w:szCs w:val="21"/>
          <w:highlight w:val="none"/>
        </w:rPr>
      </w:pPr>
      <w:bookmarkStart w:id="1112" w:name="_Toc532377297"/>
      <w:bookmarkStart w:id="1113" w:name="_Toc351203609"/>
      <w:bookmarkStart w:id="1114" w:name="_Toc337558825"/>
      <w:bookmarkStart w:id="1115" w:name="_Toc296346619"/>
      <w:bookmarkStart w:id="1116" w:name="_Toc296503118"/>
      <w:r>
        <w:rPr>
          <w:rFonts w:hint="eastAsia"/>
          <w:color w:val="auto"/>
          <w:sz w:val="21"/>
          <w:szCs w:val="21"/>
          <w:highlight w:val="none"/>
        </w:rPr>
        <w:t>17.2 不可抗力的通知</w:t>
      </w:r>
      <w:bookmarkEnd w:id="1112"/>
      <w:bookmarkEnd w:id="1113"/>
    </w:p>
    <w:bookmarkEnd w:id="1114"/>
    <w:bookmarkEnd w:id="1115"/>
    <w:bookmarkEnd w:id="111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beforeAutospacing="0" w:after="0" w:afterAutospacing="0" w:line="360" w:lineRule="auto"/>
        <w:ind w:firstLine="422" w:firstLineChars="200"/>
        <w:rPr>
          <w:color w:val="auto"/>
          <w:sz w:val="21"/>
          <w:szCs w:val="21"/>
          <w:highlight w:val="none"/>
        </w:rPr>
      </w:pPr>
      <w:bookmarkStart w:id="1117" w:name="_Toc532377298"/>
      <w:r>
        <w:rPr>
          <w:rFonts w:hint="eastAsia"/>
          <w:color w:val="auto"/>
          <w:sz w:val="21"/>
          <w:szCs w:val="21"/>
          <w:highlight w:val="none"/>
        </w:rPr>
        <w:t>17.3 不可抗力后果的承担</w:t>
      </w:r>
      <w:bookmarkEnd w:id="1117"/>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17.3.2 不可抗力导致的人员伤亡、财产损失、费用增加和（或）工期延误等后果，由合同当事人按以下原则承担：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（1）永久工程、已运至施工现场的材料和工程设备的损坏，以及因工程损坏造成的第三人人员伤亡和财产损失由发包人承担；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（2）承包人施工设备的损坏由承包人承担；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（3）发包人和承包人承担各自人员伤亡和财产的损失；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（5）因不可抗力引起或将引起工期延误，发包人要求赶工的，由此增加的赶工费用由发包人承担；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（6）承包人在停工期间按照发包人要求照管、清理和修复工程的费用由发包人承担。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因合同一方迟延履行合同义务，在迟延履行期间遭遇不可抗力的，不免除其违约责任。</w:t>
      </w:r>
    </w:p>
    <w:p>
      <w:pPr>
        <w:pStyle w:val="7"/>
        <w:spacing w:before="0" w:beforeAutospacing="0" w:after="0" w:afterAutospacing="0" w:line="360" w:lineRule="auto"/>
        <w:ind w:firstLine="422" w:firstLineChars="200"/>
        <w:rPr>
          <w:color w:val="auto"/>
          <w:sz w:val="21"/>
          <w:szCs w:val="21"/>
          <w:highlight w:val="none"/>
        </w:rPr>
      </w:pPr>
      <w:bookmarkStart w:id="1118" w:name="_Toc351203611"/>
      <w:bookmarkStart w:id="1119" w:name="_Toc532377299"/>
      <w:bookmarkStart w:id="1120" w:name="_Toc337558827"/>
      <w:r>
        <w:rPr>
          <w:rFonts w:hint="eastAsia"/>
          <w:color w:val="auto"/>
          <w:sz w:val="21"/>
          <w:szCs w:val="21"/>
          <w:highlight w:val="none"/>
        </w:rPr>
        <w:t>17.4 因不可抗力解除合同</w:t>
      </w:r>
      <w:bookmarkEnd w:id="1118"/>
      <w:bookmarkEnd w:id="1119"/>
    </w:p>
    <w:bookmarkEnd w:id="1120"/>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（1）合同解除前承包人已完成工作的价款；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（2）承包人为工程订购的并已交付给承包人，或承包人有责任接受交付的材料、工程设备和其他物品的价款；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（3）发包人要求承包人退货或解除订货合同而产生的费用，或因不能退货或解除合同而产生的损失；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（4）承包人撤离施工现场以及遣散承包人人员的费用；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（5）按照合同约定在合同解除前应支付给承包人的其他款项；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（6）扣减承包人按照合同约定应向发包人支付的款项；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（7）双方商定或确定的其他款项。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除专用合同条款另有约定外，合同解除后，发包人应在商定或确定上述款项后28天内完成上述款项的支付。</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21" w:name="_Toc351203612"/>
      <w:bookmarkStart w:id="1122" w:name="_Toc532377300"/>
      <w:bookmarkStart w:id="1123" w:name="_Toc532375604"/>
      <w:bookmarkStart w:id="1124" w:name="_Toc337558828"/>
      <w:bookmarkStart w:id="1125" w:name="_Toc296346621"/>
      <w:bookmarkStart w:id="1126" w:name="_Toc296503120"/>
      <w:r>
        <w:rPr>
          <w:rFonts w:hint="eastAsia"/>
          <w:color w:val="auto"/>
          <w:kern w:val="2"/>
          <w:sz w:val="21"/>
          <w:szCs w:val="21"/>
          <w:highlight w:val="none"/>
        </w:rPr>
        <w:t>18. 保险</w:t>
      </w:r>
      <w:bookmarkEnd w:id="1121"/>
      <w:bookmarkEnd w:id="1122"/>
      <w:bookmarkEnd w:id="1123"/>
    </w:p>
    <w:bookmarkEnd w:id="1124"/>
    <w:bookmarkEnd w:id="1125"/>
    <w:bookmarkEnd w:id="1126"/>
    <w:p>
      <w:pPr>
        <w:pStyle w:val="7"/>
        <w:spacing w:before="0" w:beforeAutospacing="0" w:after="0" w:afterAutospacing="0" w:line="360" w:lineRule="auto"/>
        <w:ind w:firstLine="422" w:firstLineChars="200"/>
        <w:rPr>
          <w:color w:val="auto"/>
          <w:sz w:val="21"/>
          <w:szCs w:val="21"/>
          <w:highlight w:val="none"/>
        </w:rPr>
      </w:pPr>
      <w:bookmarkStart w:id="1127" w:name="_Toc532377301"/>
      <w:bookmarkStart w:id="1128" w:name="_Toc351203613"/>
      <w:bookmarkStart w:id="1129" w:name="_Toc296346622"/>
      <w:bookmarkStart w:id="1130" w:name="_Toc337558829"/>
      <w:bookmarkStart w:id="1131" w:name="_Toc296503121"/>
      <w:r>
        <w:rPr>
          <w:rFonts w:hint="eastAsia"/>
          <w:color w:val="auto"/>
          <w:sz w:val="21"/>
          <w:szCs w:val="21"/>
          <w:highlight w:val="none"/>
        </w:rPr>
        <w:t>18.1 工程保险</w:t>
      </w:r>
      <w:bookmarkEnd w:id="1127"/>
      <w:bookmarkEnd w:id="1128"/>
    </w:p>
    <w:bookmarkEnd w:id="1129"/>
    <w:bookmarkEnd w:id="1130"/>
    <w:bookmarkEnd w:id="1131"/>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除专用合同条款另有约定外，发包人应投保建筑工程一切险或安装工程一切险；发包人委托承包人投保的，因投保产生的保险费和其他相关费用由发包人承担。</w:t>
      </w:r>
    </w:p>
    <w:p>
      <w:pPr>
        <w:pStyle w:val="7"/>
        <w:spacing w:before="0" w:beforeAutospacing="0" w:after="0" w:afterAutospacing="0" w:line="360" w:lineRule="auto"/>
        <w:ind w:firstLine="422" w:firstLineChars="200"/>
        <w:rPr>
          <w:color w:val="auto"/>
          <w:sz w:val="21"/>
          <w:szCs w:val="21"/>
          <w:highlight w:val="none"/>
        </w:rPr>
      </w:pPr>
      <w:bookmarkStart w:id="1132" w:name="_Toc351203614"/>
      <w:bookmarkStart w:id="1133" w:name="_Toc532377302"/>
      <w:bookmarkStart w:id="1134" w:name="_Toc296503122"/>
      <w:bookmarkStart w:id="1135" w:name="_Toc296346623"/>
      <w:bookmarkStart w:id="1136" w:name="_Toc337558830"/>
      <w:r>
        <w:rPr>
          <w:rFonts w:hint="eastAsia"/>
          <w:color w:val="auto"/>
          <w:sz w:val="21"/>
          <w:szCs w:val="21"/>
          <w:highlight w:val="none"/>
        </w:rPr>
        <w:t>18.2 工伤保险</w:t>
      </w:r>
      <w:bookmarkEnd w:id="1132"/>
      <w:bookmarkEnd w:id="1133"/>
    </w:p>
    <w:bookmarkEnd w:id="1134"/>
    <w:bookmarkEnd w:id="1135"/>
    <w:bookmarkEnd w:id="113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pPr>
        <w:pStyle w:val="7"/>
        <w:spacing w:before="0" w:beforeAutospacing="0" w:after="0" w:afterAutospacing="0" w:line="360" w:lineRule="auto"/>
        <w:ind w:firstLine="422" w:firstLineChars="200"/>
        <w:rPr>
          <w:color w:val="auto"/>
          <w:sz w:val="21"/>
          <w:szCs w:val="21"/>
          <w:highlight w:val="none"/>
        </w:rPr>
      </w:pPr>
      <w:bookmarkStart w:id="1137" w:name="_Toc351203615"/>
      <w:bookmarkStart w:id="1138" w:name="_Toc532377303"/>
      <w:bookmarkStart w:id="1139" w:name="_Toc296503125"/>
      <w:bookmarkStart w:id="1140" w:name="_Toc296346626"/>
      <w:bookmarkStart w:id="1141" w:name="_Toc337558831"/>
      <w:r>
        <w:rPr>
          <w:rFonts w:hint="eastAsia"/>
          <w:color w:val="auto"/>
          <w:sz w:val="21"/>
          <w:szCs w:val="21"/>
          <w:highlight w:val="none"/>
        </w:rPr>
        <w:t>18.3其他保险</w:t>
      </w:r>
      <w:bookmarkEnd w:id="1137"/>
      <w:bookmarkEnd w:id="1138"/>
    </w:p>
    <w:bookmarkEnd w:id="1139"/>
    <w:bookmarkEnd w:id="1140"/>
    <w:bookmarkEnd w:id="1141"/>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除专用合同条款另有约定外，承包人应为其施工设备等办理财产保险。</w:t>
      </w:r>
    </w:p>
    <w:p>
      <w:pPr>
        <w:pStyle w:val="7"/>
        <w:spacing w:before="0" w:beforeAutospacing="0" w:after="0" w:afterAutospacing="0" w:line="360" w:lineRule="auto"/>
        <w:ind w:firstLine="422" w:firstLineChars="200"/>
        <w:rPr>
          <w:color w:val="auto"/>
          <w:sz w:val="21"/>
          <w:szCs w:val="21"/>
          <w:highlight w:val="none"/>
        </w:rPr>
      </w:pPr>
      <w:bookmarkStart w:id="1142" w:name="_Toc532377304"/>
      <w:bookmarkStart w:id="1143" w:name="_Toc351203616"/>
      <w:r>
        <w:rPr>
          <w:rFonts w:hint="eastAsia"/>
          <w:color w:val="auto"/>
          <w:sz w:val="21"/>
          <w:szCs w:val="21"/>
          <w:highlight w:val="none"/>
        </w:rPr>
        <w:t>18.4持续保险</w:t>
      </w:r>
      <w:bookmarkEnd w:id="1142"/>
      <w:bookmarkEnd w:id="1143"/>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合同当事人应与保险人保持联系，使保险人能够随时了解工程实施中的变动，并确保按保险合同条款要求持续保险。</w:t>
      </w:r>
    </w:p>
    <w:p>
      <w:pPr>
        <w:pStyle w:val="7"/>
        <w:spacing w:before="0" w:beforeAutospacing="0" w:after="0" w:afterAutospacing="0" w:line="360" w:lineRule="auto"/>
        <w:ind w:firstLine="422" w:firstLineChars="200"/>
        <w:rPr>
          <w:color w:val="auto"/>
          <w:sz w:val="21"/>
          <w:szCs w:val="21"/>
          <w:highlight w:val="none"/>
        </w:rPr>
      </w:pPr>
      <w:bookmarkStart w:id="1144" w:name="_Toc532377305"/>
      <w:bookmarkStart w:id="1145" w:name="_Toc351203617"/>
      <w:bookmarkStart w:id="1146" w:name="_Toc296503126"/>
      <w:bookmarkStart w:id="1147" w:name="_Toc296346627"/>
      <w:bookmarkStart w:id="1148" w:name="_Toc337558832"/>
      <w:r>
        <w:rPr>
          <w:rFonts w:hint="eastAsia"/>
          <w:color w:val="auto"/>
          <w:sz w:val="21"/>
          <w:szCs w:val="21"/>
          <w:highlight w:val="none"/>
        </w:rPr>
        <w:t>18.5 保险凭证</w:t>
      </w:r>
      <w:bookmarkEnd w:id="1144"/>
      <w:bookmarkEnd w:id="1145"/>
    </w:p>
    <w:bookmarkEnd w:id="1146"/>
    <w:bookmarkEnd w:id="1147"/>
    <w:bookmarkEnd w:id="114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合同当事人应及时向另一方当事人提交其已投保的各项保险的凭证和保险单复印件。</w:t>
      </w:r>
    </w:p>
    <w:p>
      <w:pPr>
        <w:pStyle w:val="7"/>
        <w:spacing w:before="0" w:beforeAutospacing="0" w:after="0" w:afterAutospacing="0" w:line="360" w:lineRule="auto"/>
        <w:ind w:firstLine="422" w:firstLineChars="200"/>
        <w:rPr>
          <w:color w:val="auto"/>
          <w:sz w:val="21"/>
          <w:szCs w:val="21"/>
          <w:highlight w:val="none"/>
        </w:rPr>
      </w:pPr>
      <w:bookmarkStart w:id="1149" w:name="_Toc532377306"/>
      <w:bookmarkStart w:id="1150" w:name="_Toc351203618"/>
      <w:bookmarkStart w:id="1151" w:name="_Toc337558833"/>
      <w:bookmarkStart w:id="1152" w:name="_Toc296503127"/>
      <w:bookmarkStart w:id="1153" w:name="_Toc296346628"/>
      <w:r>
        <w:rPr>
          <w:rFonts w:hint="eastAsia"/>
          <w:color w:val="auto"/>
          <w:sz w:val="21"/>
          <w:szCs w:val="21"/>
          <w:highlight w:val="none"/>
        </w:rPr>
        <w:t>18.6 未按约定投保的补救</w:t>
      </w:r>
      <w:bookmarkEnd w:id="1149"/>
      <w:bookmarkEnd w:id="1150"/>
    </w:p>
    <w:bookmarkEnd w:id="1151"/>
    <w:bookmarkEnd w:id="1152"/>
    <w:bookmarkEnd w:id="115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beforeAutospacing="0" w:after="0" w:afterAutospacing="0" w:line="360" w:lineRule="auto"/>
        <w:ind w:firstLine="422" w:firstLineChars="200"/>
        <w:rPr>
          <w:color w:val="auto"/>
          <w:sz w:val="21"/>
          <w:szCs w:val="21"/>
          <w:highlight w:val="none"/>
        </w:rPr>
      </w:pPr>
      <w:bookmarkStart w:id="1154" w:name="_Toc351203619"/>
      <w:bookmarkStart w:id="1155" w:name="_Toc532377307"/>
      <w:bookmarkStart w:id="1156" w:name="_Toc337558834"/>
      <w:r>
        <w:rPr>
          <w:rFonts w:hint="eastAsia"/>
          <w:color w:val="auto"/>
          <w:sz w:val="21"/>
          <w:szCs w:val="21"/>
          <w:highlight w:val="none"/>
        </w:rPr>
        <w:t>18.7 通知义务</w:t>
      </w:r>
      <w:bookmarkEnd w:id="1154"/>
      <w:bookmarkEnd w:id="1155"/>
    </w:p>
    <w:bookmarkEnd w:id="115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保险事故发生时，投保人应按照保险合同规定的条件和期限及时向保险人报告。发包人和承包人应当在知道保险事故发生后及时通知对方。</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57" w:name="_Toc532375605"/>
      <w:bookmarkStart w:id="1158" w:name="_Toc532377308"/>
      <w:r>
        <w:rPr>
          <w:rFonts w:hint="eastAsia"/>
          <w:color w:val="auto"/>
          <w:kern w:val="2"/>
          <w:sz w:val="21"/>
          <w:szCs w:val="21"/>
          <w:highlight w:val="none"/>
        </w:rPr>
        <w:t>19. 索赔</w:t>
      </w:r>
      <w:bookmarkEnd w:id="1157"/>
      <w:bookmarkEnd w:id="1158"/>
    </w:p>
    <w:p>
      <w:pPr>
        <w:pStyle w:val="7"/>
        <w:spacing w:before="0" w:beforeAutospacing="0" w:after="0" w:afterAutospacing="0" w:line="360" w:lineRule="auto"/>
        <w:ind w:firstLine="422" w:firstLineChars="200"/>
        <w:rPr>
          <w:color w:val="auto"/>
          <w:sz w:val="21"/>
          <w:szCs w:val="21"/>
          <w:highlight w:val="none"/>
        </w:rPr>
      </w:pPr>
      <w:bookmarkStart w:id="1159" w:name="_Toc532377309"/>
      <w:r>
        <w:rPr>
          <w:rFonts w:hint="eastAsia"/>
          <w:color w:val="auto"/>
          <w:sz w:val="21"/>
          <w:szCs w:val="21"/>
          <w:highlight w:val="none"/>
        </w:rPr>
        <w:t>19.1承包人的索赔</w:t>
      </w:r>
      <w:bookmarkEnd w:id="1159"/>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根据合同约定，承包人认为有权得到追加付款和（或）延长工期的，应按以下程序向发包人提出索赔：</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（4）在索赔事件影响结束后28天内，承包人应向监理人递交最终索赔报告，说明最终要求索赔的追加付款金额和（或）延长的工期，并附必要的记录和证明材料。</w:t>
      </w:r>
    </w:p>
    <w:p>
      <w:pPr>
        <w:pStyle w:val="7"/>
        <w:spacing w:before="0" w:beforeAutospacing="0" w:after="0" w:afterAutospacing="0" w:line="360" w:lineRule="auto"/>
        <w:ind w:firstLine="422" w:firstLineChars="200"/>
        <w:rPr>
          <w:color w:val="auto"/>
          <w:sz w:val="21"/>
          <w:szCs w:val="21"/>
          <w:highlight w:val="none"/>
        </w:rPr>
      </w:pPr>
      <w:bookmarkStart w:id="1160" w:name="_Toc532377310"/>
      <w:bookmarkStart w:id="1161" w:name="_Toc351203622"/>
      <w:bookmarkStart w:id="1162" w:name="_Toc296503142"/>
      <w:bookmarkStart w:id="1163" w:name="_Toc296346643"/>
      <w:bookmarkStart w:id="1164" w:name="_Toc337558837"/>
      <w:r>
        <w:rPr>
          <w:rFonts w:hint="eastAsia"/>
          <w:color w:val="auto"/>
          <w:sz w:val="21"/>
          <w:szCs w:val="21"/>
          <w:highlight w:val="none"/>
        </w:rPr>
        <w:t>19.2 对承包人索赔的处理</w:t>
      </w:r>
      <w:bookmarkEnd w:id="1160"/>
      <w:bookmarkEnd w:id="1161"/>
    </w:p>
    <w:bookmarkEnd w:id="1162"/>
    <w:bookmarkEnd w:id="1163"/>
    <w:bookmarkEnd w:id="116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对承包人索赔的处理如下：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（1）监理人应在收到索赔报告后14天内完成审查并报送发包人。监理人对索赔报告存在异议的，有权要求承包人提交全部原始记录副本；</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（3）承包人接受索赔处理结果的，索赔款项在当期进度款中进行支付；承包人不接受索赔处理结果的，按照第20条〔争议解决〕约定处理。</w:t>
      </w:r>
    </w:p>
    <w:p>
      <w:pPr>
        <w:pStyle w:val="7"/>
        <w:spacing w:before="0" w:beforeAutospacing="0" w:after="0" w:afterAutospacing="0" w:line="360" w:lineRule="auto"/>
        <w:ind w:firstLine="422" w:firstLineChars="200"/>
        <w:rPr>
          <w:color w:val="auto"/>
          <w:sz w:val="21"/>
          <w:szCs w:val="21"/>
          <w:highlight w:val="none"/>
        </w:rPr>
      </w:pPr>
      <w:bookmarkStart w:id="1165" w:name="_Toc532377311"/>
      <w:bookmarkStart w:id="1166" w:name="_Toc351203623"/>
      <w:bookmarkStart w:id="1167" w:name="_Toc296346644"/>
      <w:bookmarkStart w:id="1168" w:name="_Toc337558838"/>
      <w:bookmarkStart w:id="1169" w:name="_Toc296503143"/>
      <w:r>
        <w:rPr>
          <w:rFonts w:hint="eastAsia"/>
          <w:color w:val="auto"/>
          <w:sz w:val="21"/>
          <w:szCs w:val="21"/>
          <w:highlight w:val="none"/>
        </w:rPr>
        <w:t>19.3发包人的索赔</w:t>
      </w:r>
      <w:bookmarkEnd w:id="1165"/>
      <w:bookmarkEnd w:id="1166"/>
    </w:p>
    <w:bookmarkEnd w:id="1167"/>
    <w:bookmarkEnd w:id="1168"/>
    <w:bookmarkEnd w:id="116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根据合同约定，发包人认为有权得到赔付金额和（或）延长缺陷责任期的，监理人应向承包人发出通知并附有详细的证明。</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beforeAutospacing="0" w:after="0" w:afterAutospacing="0" w:line="360" w:lineRule="auto"/>
        <w:ind w:firstLine="422" w:firstLineChars="200"/>
        <w:rPr>
          <w:color w:val="auto"/>
          <w:sz w:val="21"/>
          <w:szCs w:val="21"/>
          <w:highlight w:val="none"/>
        </w:rPr>
      </w:pPr>
      <w:bookmarkStart w:id="1170" w:name="_Toc351203624"/>
      <w:bookmarkStart w:id="1171" w:name="_Toc532377312"/>
      <w:bookmarkStart w:id="1172" w:name="_Toc296346645"/>
      <w:bookmarkStart w:id="1173" w:name="_Toc337558839"/>
      <w:bookmarkStart w:id="1174" w:name="_Toc296503144"/>
      <w:r>
        <w:rPr>
          <w:rFonts w:hint="eastAsia"/>
          <w:color w:val="auto"/>
          <w:sz w:val="21"/>
          <w:szCs w:val="21"/>
          <w:highlight w:val="none"/>
        </w:rPr>
        <w:t>19.4 对发包人索赔的处理</w:t>
      </w:r>
      <w:bookmarkEnd w:id="1170"/>
      <w:bookmarkEnd w:id="1171"/>
    </w:p>
    <w:bookmarkEnd w:id="1172"/>
    <w:bookmarkEnd w:id="1173"/>
    <w:bookmarkEnd w:id="117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（1）承包人收到发包人提交的索赔报告后，应及时审查索赔报告的内容、查验发包人证明材料；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0" w:firstLineChars="200"/>
        <w:rPr>
          <w:b w:val="0"/>
          <w:color w:val="auto"/>
          <w:sz w:val="21"/>
          <w:szCs w:val="21"/>
          <w:highlight w:val="none"/>
        </w:rPr>
      </w:pPr>
      <w:bookmarkStart w:id="1175" w:name="_Toc532377313"/>
      <w:bookmarkStart w:id="1176" w:name="_Toc351203625"/>
      <w:r>
        <w:rPr>
          <w:rFonts w:hint="eastAsia"/>
          <w:b w:val="0"/>
          <w:color w:val="auto"/>
          <w:sz w:val="21"/>
          <w:szCs w:val="21"/>
          <w:highlight w:val="none"/>
        </w:rPr>
        <w:t>19.5 提出索赔的期限</w:t>
      </w:r>
      <w:bookmarkEnd w:id="1175"/>
      <w:bookmarkEnd w:id="1176"/>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（1）承包人按第14.2款〔竣工结算审核〕约定接收竣工付款证书后，应被视为已无权再提出在工程接收证书颁发前所发生的任何索赔。</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（2）承包人按第14.4款〔最终结清〕提交的最终结清申请单中，只限于提出工程接收证书颁发后发生的索赔。提出索赔的期限自接受最终结清证书时终止。</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77" w:name="_Toc351203626"/>
      <w:bookmarkStart w:id="1178" w:name="_Toc532377314"/>
      <w:bookmarkStart w:id="1179" w:name="_Toc532375606"/>
      <w:r>
        <w:rPr>
          <w:rFonts w:hint="eastAsia"/>
          <w:color w:val="auto"/>
          <w:kern w:val="2"/>
          <w:sz w:val="21"/>
          <w:szCs w:val="21"/>
          <w:highlight w:val="none"/>
        </w:rPr>
        <w:t>20</w:t>
      </w:r>
      <w:bookmarkStart w:id="1180" w:name="_Toc337558840"/>
      <w:bookmarkStart w:id="1181" w:name="_Toc296503146"/>
      <w:bookmarkStart w:id="1182" w:name="_Toc296346647"/>
      <w:r>
        <w:rPr>
          <w:rFonts w:hint="eastAsia"/>
          <w:color w:val="auto"/>
          <w:kern w:val="2"/>
          <w:sz w:val="21"/>
          <w:szCs w:val="21"/>
          <w:highlight w:val="none"/>
        </w:rPr>
        <w:t>. 争议解决</w:t>
      </w:r>
      <w:bookmarkEnd w:id="1177"/>
      <w:bookmarkEnd w:id="1178"/>
      <w:bookmarkEnd w:id="1179"/>
    </w:p>
    <w:bookmarkEnd w:id="1180"/>
    <w:bookmarkEnd w:id="1181"/>
    <w:bookmarkEnd w:id="1182"/>
    <w:p>
      <w:pPr>
        <w:pStyle w:val="7"/>
        <w:spacing w:before="0" w:beforeAutospacing="0" w:after="0" w:afterAutospacing="0" w:line="360" w:lineRule="auto"/>
        <w:ind w:firstLine="422" w:firstLineChars="200"/>
        <w:rPr>
          <w:color w:val="auto"/>
          <w:sz w:val="21"/>
          <w:szCs w:val="21"/>
          <w:highlight w:val="none"/>
        </w:rPr>
      </w:pPr>
      <w:bookmarkStart w:id="1183" w:name="_Toc532377315"/>
      <w:bookmarkStart w:id="1184" w:name="_Toc351203627"/>
      <w:bookmarkStart w:id="1185" w:name="_Toc296503147"/>
      <w:bookmarkStart w:id="1186" w:name="_Toc296346648"/>
      <w:bookmarkStart w:id="1187" w:name="_Toc337558841"/>
      <w:r>
        <w:rPr>
          <w:rFonts w:hint="eastAsia"/>
          <w:color w:val="auto"/>
          <w:sz w:val="21"/>
          <w:szCs w:val="21"/>
          <w:highlight w:val="none"/>
        </w:rPr>
        <w:t>20.1和解</w:t>
      </w:r>
      <w:bookmarkEnd w:id="1183"/>
      <w:bookmarkEnd w:id="1184"/>
    </w:p>
    <w:bookmarkEnd w:id="1185"/>
    <w:bookmarkEnd w:id="1186"/>
    <w:bookmarkEnd w:id="1187"/>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合同当事人可以就争议自行和解，自行和解达成协议的经双方签名并盖章后作为合同补充文件，双方均应遵照执行。</w:t>
      </w:r>
    </w:p>
    <w:p>
      <w:pPr>
        <w:pStyle w:val="7"/>
        <w:spacing w:before="0" w:beforeAutospacing="0" w:after="0" w:afterAutospacing="0" w:line="360" w:lineRule="auto"/>
        <w:ind w:firstLine="422" w:firstLineChars="200"/>
        <w:rPr>
          <w:color w:val="auto"/>
          <w:sz w:val="21"/>
          <w:szCs w:val="21"/>
          <w:highlight w:val="none"/>
        </w:rPr>
      </w:pPr>
      <w:bookmarkStart w:id="1188" w:name="_Toc351203628"/>
      <w:bookmarkStart w:id="1189" w:name="_Toc532377316"/>
      <w:r>
        <w:rPr>
          <w:rFonts w:hint="eastAsia"/>
          <w:color w:val="auto"/>
          <w:sz w:val="21"/>
          <w:szCs w:val="21"/>
          <w:highlight w:val="none"/>
        </w:rPr>
        <w:t>20</w:t>
      </w:r>
      <w:bookmarkStart w:id="1190" w:name="_Toc296346649"/>
      <w:bookmarkStart w:id="1191" w:name="_Toc337558842"/>
      <w:bookmarkStart w:id="1192" w:name="_Toc296503148"/>
      <w:r>
        <w:rPr>
          <w:rFonts w:hint="eastAsia"/>
          <w:color w:val="auto"/>
          <w:sz w:val="21"/>
          <w:szCs w:val="21"/>
          <w:highlight w:val="none"/>
        </w:rPr>
        <w:t>.2调解</w:t>
      </w:r>
      <w:bookmarkEnd w:id="1188"/>
      <w:bookmarkEnd w:id="1189"/>
    </w:p>
    <w:bookmarkEnd w:id="1190"/>
    <w:bookmarkEnd w:id="1191"/>
    <w:bookmarkEnd w:id="119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合同当事人可以就争议请求建设行政主管部门、行业协会或其他第三方进行调解，调解达成协议的，经双方签名并盖章后作为合同补充文件，双方均应遵照执行。</w:t>
      </w:r>
    </w:p>
    <w:p>
      <w:pPr>
        <w:pStyle w:val="7"/>
        <w:spacing w:before="0" w:beforeAutospacing="0" w:after="0" w:afterAutospacing="0" w:line="360" w:lineRule="auto"/>
        <w:ind w:firstLine="422" w:firstLineChars="200"/>
        <w:rPr>
          <w:color w:val="auto"/>
          <w:sz w:val="21"/>
          <w:szCs w:val="21"/>
          <w:highlight w:val="none"/>
        </w:rPr>
      </w:pPr>
      <w:bookmarkStart w:id="1193" w:name="_Toc532377317"/>
      <w:bookmarkStart w:id="1194" w:name="_Toc351203629"/>
      <w:bookmarkStart w:id="1195" w:name="_Toc296503149"/>
      <w:bookmarkStart w:id="1196" w:name="_Toc337558843"/>
      <w:bookmarkStart w:id="1197" w:name="_Toc296346650"/>
      <w:r>
        <w:rPr>
          <w:rFonts w:hint="eastAsia"/>
          <w:color w:val="auto"/>
          <w:sz w:val="21"/>
          <w:szCs w:val="21"/>
          <w:highlight w:val="none"/>
        </w:rPr>
        <w:t>20.3争议评审</w:t>
      </w:r>
      <w:bookmarkEnd w:id="1193"/>
      <w:bookmarkEnd w:id="1194"/>
    </w:p>
    <w:bookmarkEnd w:id="1195"/>
    <w:bookmarkEnd w:id="1196"/>
    <w:bookmarkEnd w:id="1197"/>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合同当事人在专用合同条款中约定采取争议评审方式解决争议以及评审规则，并按下列约定执行：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20.3.1 争议评审小组的确定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除专用合同条款另有约定外，评审员报酬由发包人和承包人各承担一半。</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20.3.2 争议评审小组的决定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20.3.3 争议评审小组决定的效力</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争议评审小组作出的书面决定经合同当事人签名确认后，对双方具有约束力，双方应遵照执行。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任何一方当事人不接受争议评审小组决定或不履行争议评审小组决定的，双方可选择采用其他争议解决方式。</w:t>
      </w:r>
    </w:p>
    <w:p>
      <w:pPr>
        <w:pStyle w:val="7"/>
        <w:spacing w:before="0" w:beforeAutospacing="0" w:after="0" w:afterAutospacing="0" w:line="360" w:lineRule="auto"/>
        <w:ind w:firstLine="422" w:firstLineChars="200"/>
        <w:rPr>
          <w:color w:val="auto"/>
          <w:sz w:val="21"/>
          <w:szCs w:val="21"/>
          <w:highlight w:val="none"/>
        </w:rPr>
      </w:pPr>
      <w:bookmarkStart w:id="1198" w:name="_Toc351203630"/>
      <w:bookmarkStart w:id="1199" w:name="_Toc532377318"/>
      <w:bookmarkStart w:id="1200" w:name="_Toc337558844"/>
      <w:bookmarkStart w:id="1201" w:name="_Toc296503150"/>
      <w:bookmarkStart w:id="1202" w:name="_Toc296346651"/>
      <w:r>
        <w:rPr>
          <w:rFonts w:hint="eastAsia"/>
          <w:color w:val="auto"/>
          <w:sz w:val="21"/>
          <w:szCs w:val="21"/>
          <w:highlight w:val="none"/>
        </w:rPr>
        <w:t>20.4仲裁或诉讼</w:t>
      </w:r>
      <w:bookmarkEnd w:id="1198"/>
      <w:bookmarkEnd w:id="1199"/>
    </w:p>
    <w:bookmarkEnd w:id="1200"/>
    <w:bookmarkEnd w:id="1201"/>
    <w:bookmarkEnd w:id="120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因合同及合同有关事项产生的争议，合同当事人可以在专用合同条款中约定以下一种方式解决争议：</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（1）向约定的仲裁委员会申请仲裁；</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（2）向有管辖权的人民法院起诉。</w:t>
      </w:r>
    </w:p>
    <w:p>
      <w:pPr>
        <w:pStyle w:val="7"/>
        <w:spacing w:before="0" w:beforeAutospacing="0" w:after="0" w:afterAutospacing="0" w:line="360" w:lineRule="auto"/>
        <w:ind w:firstLine="420" w:firstLineChars="200"/>
        <w:rPr>
          <w:b w:val="0"/>
          <w:color w:val="auto"/>
          <w:sz w:val="21"/>
          <w:szCs w:val="21"/>
          <w:highlight w:val="none"/>
        </w:rPr>
      </w:pPr>
      <w:bookmarkStart w:id="1203" w:name="_Toc351203631"/>
      <w:bookmarkStart w:id="1204" w:name="_Toc532377319"/>
      <w:bookmarkStart w:id="1205" w:name="_Toc337558845"/>
      <w:bookmarkStart w:id="1206" w:name="_Toc296503152"/>
      <w:bookmarkStart w:id="1207" w:name="_Toc296346653"/>
      <w:r>
        <w:rPr>
          <w:rFonts w:hint="eastAsia"/>
          <w:b w:val="0"/>
          <w:color w:val="auto"/>
          <w:sz w:val="21"/>
          <w:szCs w:val="21"/>
          <w:highlight w:val="none"/>
        </w:rPr>
        <w:t>20.5争议解决条款效力</w:t>
      </w:r>
      <w:bookmarkEnd w:id="1203"/>
      <w:bookmarkEnd w:id="1204"/>
    </w:p>
    <w:bookmarkEnd w:id="1205"/>
    <w:bookmarkEnd w:id="1206"/>
    <w:bookmarkEnd w:id="1207"/>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合同有关争议解决的条款独立存在，合同的变更、解除、终止、无效或者被撤销均不影响其效力。</w:t>
      </w:r>
    </w:p>
    <w:p>
      <w:pPr>
        <w:keepNext/>
        <w:keepLines/>
        <w:snapToGrid w:val="0"/>
        <w:spacing w:before="260" w:after="260" w:line="360" w:lineRule="auto"/>
        <w:outlineLvl w:val="2"/>
        <w:rPr>
          <w:rFonts w:ascii="宋体" w:hAnsi="宋体"/>
          <w:b/>
          <w:bCs/>
          <w:color w:val="auto"/>
          <w:szCs w:val="21"/>
          <w:highlight w:val="none"/>
          <w:lang w:val="zh-CN"/>
        </w:rPr>
      </w:pPr>
      <w:r>
        <w:rPr>
          <w:rFonts w:hint="eastAsia" w:ascii="宋体" w:hAnsi="宋体"/>
          <w:b/>
          <w:bCs/>
          <w:color w:val="auto"/>
          <w:szCs w:val="21"/>
          <w:highlight w:val="none"/>
          <w:lang w:val="zh-CN"/>
        </w:rPr>
        <w:br w:type="page"/>
      </w:r>
    </w:p>
    <w:p>
      <w:pPr>
        <w:pStyle w:val="5"/>
        <w:jc w:val="center"/>
        <w:rPr>
          <w:rFonts w:ascii="宋体" w:hAnsi="宋体"/>
          <w:color w:val="auto"/>
          <w:sz w:val="44"/>
          <w:szCs w:val="44"/>
          <w:highlight w:val="none"/>
        </w:rPr>
      </w:pPr>
      <w:bookmarkStart w:id="1208" w:name="_Toc532375607"/>
      <w:bookmarkStart w:id="1209" w:name="_Toc17694"/>
      <w:bookmarkStart w:id="1210" w:name="_Toc529388290"/>
      <w:bookmarkStart w:id="1211" w:name="_Toc16924"/>
      <w:bookmarkStart w:id="1212" w:name="_Toc532377320"/>
      <w:r>
        <w:rPr>
          <w:rFonts w:hint="eastAsia" w:ascii="宋体" w:hAnsi="宋体"/>
          <w:color w:val="auto"/>
          <w:sz w:val="44"/>
          <w:szCs w:val="44"/>
          <w:highlight w:val="none"/>
        </w:rPr>
        <w:t>第三部分 专用合同条款</w:t>
      </w:r>
      <w:bookmarkEnd w:id="1208"/>
      <w:bookmarkEnd w:id="1209"/>
      <w:bookmarkEnd w:id="1210"/>
      <w:bookmarkEnd w:id="1211"/>
      <w:bookmarkEnd w:id="1212"/>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13" w:name="_Toc532375608"/>
      <w:bookmarkStart w:id="1214" w:name="_Toc351203633"/>
      <w:bookmarkStart w:id="1215" w:name="_Toc532377321"/>
      <w:bookmarkStart w:id="1216" w:name="_Hlk528927191"/>
      <w:r>
        <w:rPr>
          <w:rFonts w:hint="eastAsia"/>
          <w:color w:val="auto"/>
          <w:kern w:val="2"/>
          <w:sz w:val="21"/>
          <w:szCs w:val="21"/>
          <w:highlight w:val="none"/>
        </w:rPr>
        <w:t>1</w:t>
      </w:r>
      <w:bookmarkStart w:id="1217" w:name="_Toc296346657"/>
      <w:bookmarkStart w:id="1218" w:name="_Toc296503156"/>
      <w:bookmarkStart w:id="1219" w:name="_Toc292559866"/>
      <w:bookmarkStart w:id="1220" w:name="_Toc297120456"/>
      <w:bookmarkStart w:id="1221" w:name="_Toc292559361"/>
      <w:bookmarkStart w:id="1222" w:name="_Toc296347155"/>
      <w:bookmarkStart w:id="1223" w:name="_Toc297048342"/>
      <w:bookmarkStart w:id="1224" w:name="_Toc296890984"/>
      <w:bookmarkStart w:id="1225" w:name="_Toc296944495"/>
      <w:bookmarkStart w:id="1226" w:name="_Toc296891196"/>
      <w:r>
        <w:rPr>
          <w:rFonts w:hint="eastAsia"/>
          <w:color w:val="auto"/>
          <w:kern w:val="2"/>
          <w:sz w:val="21"/>
          <w:szCs w:val="21"/>
          <w:highlight w:val="none"/>
        </w:rPr>
        <w:t>. 一般约定</w:t>
      </w:r>
      <w:bookmarkEnd w:id="1213"/>
      <w:bookmarkEnd w:id="1214"/>
      <w:bookmarkEnd w:id="1215"/>
    </w:p>
    <w:bookmarkEnd w:id="1217"/>
    <w:bookmarkEnd w:id="1218"/>
    <w:bookmarkEnd w:id="1219"/>
    <w:bookmarkEnd w:id="1220"/>
    <w:bookmarkEnd w:id="1221"/>
    <w:bookmarkEnd w:id="1222"/>
    <w:bookmarkEnd w:id="1223"/>
    <w:bookmarkEnd w:id="1224"/>
    <w:bookmarkEnd w:id="1225"/>
    <w:bookmarkEnd w:id="1226"/>
    <w:p>
      <w:pPr>
        <w:pStyle w:val="7"/>
        <w:spacing w:before="0" w:beforeAutospacing="0" w:after="0" w:afterAutospacing="0" w:line="360" w:lineRule="auto"/>
        <w:ind w:firstLine="422" w:firstLineChars="200"/>
        <w:rPr>
          <w:color w:val="auto"/>
          <w:sz w:val="21"/>
          <w:szCs w:val="21"/>
          <w:highlight w:val="none"/>
        </w:rPr>
      </w:pPr>
      <w:bookmarkStart w:id="1227" w:name="_Toc532377322"/>
      <w:r>
        <w:rPr>
          <w:rFonts w:hint="eastAsia"/>
          <w:color w:val="auto"/>
          <w:sz w:val="21"/>
          <w:szCs w:val="21"/>
          <w:highlight w:val="none"/>
        </w:rPr>
        <w:t>1.1词语定义与解释</w:t>
      </w:r>
      <w:bookmarkEnd w:id="1227"/>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w:t>
      </w:r>
      <w:r>
        <w:rPr>
          <w:rFonts w:hint="eastAsia" w:ascii="宋体" w:hAnsi="宋体"/>
          <w:color w:val="auto"/>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竞争性比选文件：</w:t>
      </w:r>
      <w:r>
        <w:rPr>
          <w:rFonts w:hint="eastAsia" w:ascii="宋体" w:hAnsi="宋体"/>
          <w:color w:val="auto"/>
          <w:kern w:val="0"/>
          <w:szCs w:val="21"/>
          <w:highlight w:val="none"/>
          <w:u w:val="single"/>
        </w:rPr>
        <w:t>指本工程的竞争性比选文件、图纸、其他技术资料及比选人发出的对竞争性比选文件所作的澄清、修改等资料</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121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pPr>
        <w:spacing w:line="360" w:lineRule="auto"/>
        <w:ind w:firstLine="420" w:firstLineChars="200"/>
        <w:jc w:val="left"/>
        <w:rPr>
          <w:rFonts w:ascii="宋体" w:hAnsi="宋体"/>
          <w:color w:val="auto"/>
          <w:szCs w:val="21"/>
          <w:highlight w:val="none"/>
        </w:rPr>
      </w:pPr>
      <w:bookmarkStart w:id="1228" w:name="_Hlk528927262"/>
      <w:r>
        <w:rPr>
          <w:rFonts w:hint="eastAsia" w:ascii="宋体" w:hAnsi="宋体"/>
          <w:color w:val="auto"/>
          <w:szCs w:val="21"/>
          <w:highlight w:val="none"/>
        </w:rPr>
        <w:t>本项补充1.1.6.2～1.1.6.3目：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1228"/>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spacing w:before="0" w:beforeAutospacing="0" w:after="0" w:afterAutospacing="0" w:line="360" w:lineRule="auto"/>
        <w:ind w:firstLine="422" w:firstLineChars="200"/>
        <w:rPr>
          <w:color w:val="auto"/>
          <w:sz w:val="21"/>
          <w:szCs w:val="21"/>
          <w:highlight w:val="none"/>
        </w:rPr>
      </w:pPr>
      <w:bookmarkStart w:id="1229" w:name="_Toc532377323"/>
      <w:r>
        <w:rPr>
          <w:rFonts w:hint="eastAsia"/>
          <w:color w:val="auto"/>
          <w:sz w:val="21"/>
          <w:szCs w:val="21"/>
          <w:highlight w:val="none"/>
        </w:rPr>
        <w:t>1.4 标准和规范</w:t>
      </w:r>
      <w:bookmarkEnd w:id="122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30" w:name="_Toc532377324"/>
      <w:r>
        <w:rPr>
          <w:rFonts w:hint="eastAsia"/>
          <w:color w:val="auto"/>
          <w:sz w:val="21"/>
          <w:szCs w:val="21"/>
          <w:highlight w:val="none"/>
        </w:rPr>
        <w:t>1.5 合同文件的优先顺序</w:t>
      </w:r>
      <w:bookmarkEnd w:id="123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31" w:name="_Toc532377325"/>
      <w:r>
        <w:rPr>
          <w:rFonts w:hint="eastAsia"/>
          <w:color w:val="auto"/>
          <w:sz w:val="21"/>
          <w:szCs w:val="21"/>
          <w:highlight w:val="none"/>
        </w:rPr>
        <w:t>1.6 图纸和承包人文件</w:t>
      </w:r>
      <w:bookmarkEnd w:id="123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发包人向承包人提供图纸的数量：</w:t>
      </w:r>
      <w:r>
        <w:rPr>
          <w:rFonts w:hint="eastAsia" w:ascii="宋体" w:hAnsi="宋体"/>
          <w:color w:val="auto"/>
          <w:szCs w:val="21"/>
          <w:highlight w:val="none"/>
          <w:u w:val="single"/>
        </w:rPr>
        <w:t xml:space="preserve">  套</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w:t>
      </w:r>
      <w:r>
        <w:rPr>
          <w:rFonts w:hint="eastAsia" w:ascii="宋体" w:hAnsi="宋体"/>
          <w:color w:val="auto"/>
          <w:szCs w:val="21"/>
          <w:highlight w:val="none"/>
          <w:u w:val="single"/>
        </w:rPr>
        <w:t>施工组织设计、专项施工方案、</w:t>
      </w:r>
      <w:r>
        <w:rPr>
          <w:rFonts w:ascii="宋体" w:hAnsi="宋体"/>
          <w:color w:val="auto"/>
          <w:szCs w:val="21"/>
          <w:highlight w:val="none"/>
          <w:u w:val="single"/>
        </w:rPr>
        <w:t>危险性较大分部分项工程施工方案</w:t>
      </w:r>
      <w:r>
        <w:rPr>
          <w:rFonts w:hint="eastAsia" w:ascii="宋体" w:hAnsi="宋体"/>
          <w:color w:val="auto"/>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  日前报送月工程进度完成报表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承包人提供的文件的形式：□采用电子比选的，比选申请文件以电子文档为准，其他文件以书面文件为准；□采用纸质比选的，当书面文件与电子文档不一致的，以书面文件为准。监理人审批承包人文件的期限：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32" w:name="_Toc532377326"/>
      <w:r>
        <w:rPr>
          <w:rFonts w:hint="eastAsia"/>
          <w:color w:val="auto"/>
          <w:sz w:val="21"/>
          <w:szCs w:val="21"/>
          <w:highlight w:val="none"/>
        </w:rPr>
        <w:t>1.7 联络</w:t>
      </w:r>
      <w:bookmarkEnd w:id="1232"/>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1233" w:name="_Hlk528493983"/>
      <w:bookmarkEnd w:id="1233"/>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34" w:name="_Toc532377327"/>
      <w:r>
        <w:rPr>
          <w:rFonts w:hint="eastAsia"/>
          <w:color w:val="auto"/>
          <w:sz w:val="21"/>
          <w:szCs w:val="21"/>
          <w:highlight w:val="none"/>
        </w:rPr>
        <w:t>1.8 严禁贿赂</w:t>
      </w:r>
      <w:bookmarkEnd w:id="1234"/>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pPr>
        <w:pStyle w:val="7"/>
        <w:spacing w:before="0" w:beforeAutospacing="0" w:after="0" w:afterAutospacing="0" w:line="360" w:lineRule="auto"/>
        <w:ind w:firstLine="422" w:firstLineChars="200"/>
        <w:rPr>
          <w:color w:val="auto"/>
          <w:sz w:val="21"/>
          <w:szCs w:val="21"/>
          <w:highlight w:val="none"/>
        </w:rPr>
      </w:pPr>
      <w:bookmarkStart w:id="1235" w:name="_Toc532377328"/>
      <w:r>
        <w:rPr>
          <w:rFonts w:hint="eastAsia"/>
          <w:color w:val="auto"/>
          <w:sz w:val="21"/>
          <w:szCs w:val="21"/>
          <w:highlight w:val="none"/>
        </w:rPr>
        <w:t>1.10 交通运输</w:t>
      </w:r>
      <w:bookmarkEnd w:id="123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36" w:name="_Toc304295521"/>
      <w:bookmarkStart w:id="1237" w:name="_Toc303539100"/>
      <w:bookmarkStart w:id="1238" w:name="_Toc312677986"/>
      <w:bookmarkStart w:id="1239" w:name="_Toc300934943"/>
      <w:bookmarkStart w:id="1240" w:name="_Toc318581155"/>
      <w:r>
        <w:rPr>
          <w:rFonts w:hint="eastAsia" w:ascii="宋体" w:hAnsi="宋体"/>
          <w:color w:val="auto"/>
          <w:szCs w:val="21"/>
          <w:highlight w:val="none"/>
        </w:rPr>
        <w:t>.10.1 出入现场的权利</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236"/>
    <w:bookmarkEnd w:id="1237"/>
    <w:bookmarkEnd w:id="1238"/>
    <w:bookmarkEnd w:id="1239"/>
    <w:bookmarkEnd w:id="1240"/>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41" w:name="_Toc312677987"/>
      <w:bookmarkStart w:id="1242" w:name="_Toc303539101"/>
      <w:bookmarkStart w:id="1243" w:name="_Toc300934944"/>
      <w:bookmarkStart w:id="1244" w:name="_Toc318581156"/>
      <w:bookmarkStart w:id="1245" w:name="_Toc304295522"/>
      <w:r>
        <w:rPr>
          <w:rFonts w:hint="eastAsia" w:ascii="宋体" w:hAnsi="宋体"/>
          <w:color w:val="auto"/>
          <w:szCs w:val="21"/>
          <w:highlight w:val="none"/>
        </w:rPr>
        <w:t>.10.3 场内交通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1241"/>
    <w:bookmarkEnd w:id="1242"/>
    <w:bookmarkEnd w:id="1243"/>
    <w:bookmarkEnd w:id="1244"/>
    <w:bookmarkEnd w:id="1245"/>
    <w:p>
      <w:pPr>
        <w:spacing w:line="360" w:lineRule="auto"/>
        <w:ind w:firstLine="420" w:firstLineChars="200"/>
        <w:jc w:val="left"/>
        <w:rPr>
          <w:rFonts w:ascii="宋体" w:hAnsi="宋体"/>
          <w:color w:val="auto"/>
          <w:szCs w:val="21"/>
          <w:highlight w:val="none"/>
        </w:rPr>
      </w:pPr>
      <w:bookmarkStart w:id="1246" w:name="_Toc318581157"/>
      <w:r>
        <w:rPr>
          <w:rFonts w:hint="eastAsia" w:ascii="宋体" w:hAnsi="宋体"/>
          <w:color w:val="auto"/>
          <w:szCs w:val="21"/>
          <w:highlight w:val="none"/>
        </w:rPr>
        <w:t>1.10.4 超大件和超重件的运输</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发包人</w:t>
      </w:r>
      <w:r>
        <w:rPr>
          <w:rFonts w:hint="eastAsia" w:ascii="宋体" w:hAnsi="宋体"/>
          <w:color w:val="auto"/>
          <w:szCs w:val="21"/>
          <w:highlight w:val="none"/>
        </w:rPr>
        <w:t>承担。</w:t>
      </w:r>
    </w:p>
    <w:bookmarkEnd w:id="1246"/>
    <w:p>
      <w:pPr>
        <w:pStyle w:val="7"/>
        <w:spacing w:before="0" w:beforeAutospacing="0" w:after="0" w:afterAutospacing="0" w:line="360" w:lineRule="auto"/>
        <w:ind w:firstLine="422" w:firstLineChars="200"/>
        <w:rPr>
          <w:color w:val="auto"/>
          <w:sz w:val="21"/>
          <w:szCs w:val="21"/>
          <w:highlight w:val="none"/>
        </w:rPr>
      </w:pPr>
      <w:bookmarkStart w:id="1247" w:name="_Toc532377329"/>
      <w:r>
        <w:rPr>
          <w:rFonts w:hint="eastAsia"/>
          <w:color w:val="auto"/>
          <w:sz w:val="21"/>
          <w:szCs w:val="21"/>
          <w:highlight w:val="none"/>
        </w:rPr>
        <w:t>1.11 知识产权</w:t>
      </w:r>
      <w:bookmarkEnd w:id="124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48" w:name="_Toc532377330"/>
      <w:r>
        <w:rPr>
          <w:rFonts w:hint="eastAsia"/>
          <w:color w:val="auto"/>
          <w:sz w:val="21"/>
          <w:szCs w:val="21"/>
          <w:highlight w:val="none"/>
        </w:rPr>
        <w:t>1.13工程量清单错误的修正</w:t>
      </w:r>
      <w:bookmarkEnd w:id="124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出现工程量清单错误时，责任和权利划分：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49" w:name="_Toc351203634"/>
      <w:bookmarkStart w:id="1250" w:name="_Toc532377331"/>
      <w:bookmarkStart w:id="1251" w:name="_Toc532375609"/>
      <w:r>
        <w:rPr>
          <w:rFonts w:hint="eastAsia"/>
          <w:color w:val="auto"/>
          <w:kern w:val="2"/>
          <w:sz w:val="21"/>
          <w:szCs w:val="21"/>
          <w:highlight w:val="none"/>
        </w:rPr>
        <w:t>2</w:t>
      </w:r>
      <w:bookmarkStart w:id="1252" w:name="_Toc297120457"/>
      <w:bookmarkStart w:id="1253" w:name="_Toc296347156"/>
      <w:bookmarkStart w:id="1254" w:name="_Toc296890985"/>
      <w:bookmarkStart w:id="1255" w:name="_Toc292559867"/>
      <w:bookmarkStart w:id="1256" w:name="_Toc297048343"/>
      <w:bookmarkStart w:id="1257" w:name="_Toc296944496"/>
      <w:bookmarkStart w:id="1258" w:name="_Toc292559362"/>
      <w:bookmarkStart w:id="1259" w:name="_Toc296891197"/>
      <w:bookmarkStart w:id="1260" w:name="_Toc296346658"/>
      <w:bookmarkStart w:id="1261" w:name="_Toc296503157"/>
      <w:r>
        <w:rPr>
          <w:rFonts w:hint="eastAsia"/>
          <w:color w:val="auto"/>
          <w:kern w:val="2"/>
          <w:sz w:val="21"/>
          <w:szCs w:val="21"/>
          <w:highlight w:val="none"/>
        </w:rPr>
        <w:t>. 发包人</w:t>
      </w:r>
      <w:bookmarkEnd w:id="1249"/>
      <w:bookmarkEnd w:id="1250"/>
      <w:bookmarkEnd w:id="1251"/>
    </w:p>
    <w:bookmarkEnd w:id="1252"/>
    <w:bookmarkEnd w:id="1253"/>
    <w:bookmarkEnd w:id="1254"/>
    <w:bookmarkEnd w:id="1255"/>
    <w:bookmarkEnd w:id="1256"/>
    <w:bookmarkEnd w:id="1257"/>
    <w:bookmarkEnd w:id="1258"/>
    <w:bookmarkEnd w:id="1259"/>
    <w:bookmarkEnd w:id="1260"/>
    <w:bookmarkEnd w:id="1261"/>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62" w:name="_Toc532377332"/>
      <w:r>
        <w:rPr>
          <w:rFonts w:hint="eastAsia"/>
          <w:color w:val="auto"/>
          <w:sz w:val="21"/>
          <w:szCs w:val="21"/>
          <w:highlight w:val="none"/>
        </w:rPr>
        <w:t>2.4 施工现场、施工条件和基础资料的提供</w:t>
      </w:r>
      <w:bookmarkEnd w:id="126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开工</w:t>
      </w:r>
      <w:r>
        <w:rPr>
          <w:rFonts w:hint="eastAsia" w:ascii="宋体" w:hAnsi="宋体"/>
          <w:color w:val="auto"/>
          <w:szCs w:val="21"/>
          <w:highlight w:val="none"/>
        </w:rPr>
        <w:t>前向承包人提供合同工程用地红线范围内的施工场地。</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关于发包人应负责提供施工所需要的条件：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63" w:name="_Toc532377333"/>
      <w:r>
        <w:rPr>
          <w:rFonts w:hint="eastAsia"/>
          <w:color w:val="auto"/>
          <w:sz w:val="21"/>
          <w:szCs w:val="21"/>
          <w:highlight w:val="none"/>
        </w:rPr>
        <w:t>2.5 资金来源证明及支付担保</w:t>
      </w:r>
      <w:bookmarkEnd w:id="126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64" w:name="_Toc532377334"/>
      <w:bookmarkStart w:id="1265" w:name="_Toc532375610"/>
      <w:bookmarkStart w:id="1266" w:name="_Toc351203635"/>
      <w:r>
        <w:rPr>
          <w:rFonts w:hint="eastAsia"/>
          <w:color w:val="auto"/>
          <w:kern w:val="2"/>
          <w:sz w:val="21"/>
          <w:szCs w:val="21"/>
          <w:highlight w:val="none"/>
        </w:rPr>
        <w:t>3</w:t>
      </w:r>
      <w:bookmarkStart w:id="1267" w:name="_Toc296944497"/>
      <w:bookmarkStart w:id="1268" w:name="_Toc296890986"/>
      <w:bookmarkStart w:id="1269" w:name="_Toc292559363"/>
      <w:bookmarkStart w:id="1270" w:name="_Toc297048344"/>
      <w:bookmarkStart w:id="1271" w:name="_Toc296346659"/>
      <w:bookmarkStart w:id="1272" w:name="_Toc296891198"/>
      <w:bookmarkStart w:id="1273" w:name="_Toc296347157"/>
      <w:bookmarkStart w:id="1274" w:name="_Toc297120458"/>
      <w:bookmarkStart w:id="1275" w:name="_Toc296503158"/>
      <w:bookmarkStart w:id="1276" w:name="_Toc292559868"/>
      <w:r>
        <w:rPr>
          <w:rFonts w:hint="eastAsia"/>
          <w:color w:val="auto"/>
          <w:kern w:val="2"/>
          <w:sz w:val="21"/>
          <w:szCs w:val="21"/>
          <w:highlight w:val="none"/>
        </w:rPr>
        <w:t>. 承包人</w:t>
      </w:r>
      <w:bookmarkEnd w:id="1264"/>
      <w:bookmarkEnd w:id="1265"/>
      <w:bookmarkEnd w:id="1266"/>
    </w:p>
    <w:bookmarkEnd w:id="1267"/>
    <w:bookmarkEnd w:id="1268"/>
    <w:bookmarkEnd w:id="1269"/>
    <w:bookmarkEnd w:id="1270"/>
    <w:bookmarkEnd w:id="1271"/>
    <w:bookmarkEnd w:id="1272"/>
    <w:bookmarkEnd w:id="1273"/>
    <w:bookmarkEnd w:id="1274"/>
    <w:bookmarkEnd w:id="1275"/>
    <w:bookmarkEnd w:id="1276"/>
    <w:p>
      <w:pPr>
        <w:pStyle w:val="7"/>
        <w:spacing w:before="0" w:beforeAutospacing="0" w:after="0" w:afterAutospacing="0" w:line="360" w:lineRule="auto"/>
        <w:ind w:firstLine="422" w:firstLineChars="200"/>
        <w:rPr>
          <w:color w:val="auto"/>
          <w:sz w:val="21"/>
          <w:szCs w:val="21"/>
          <w:highlight w:val="none"/>
        </w:rPr>
      </w:pPr>
      <w:bookmarkStart w:id="1277" w:name="_Toc532377335"/>
      <w:r>
        <w:rPr>
          <w:rFonts w:hint="eastAsia"/>
          <w:color w:val="auto"/>
          <w:sz w:val="21"/>
          <w:szCs w:val="21"/>
          <w:highlight w:val="none"/>
        </w:rPr>
        <w:t>3.1 承包人的一般义务</w:t>
      </w:r>
      <w:bookmarkEnd w:id="127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承包人需要提交的竣工资料套数：完整竣工资料一式</w:t>
      </w:r>
      <w:r>
        <w:rPr>
          <w:rFonts w:hint="eastAsia" w:ascii="宋体" w:hAnsi="宋体"/>
          <w:color w:val="auto"/>
          <w:szCs w:val="21"/>
          <w:highlight w:val="none"/>
          <w:u w:val="single"/>
        </w:rPr>
        <w:t xml:space="preserve">    </w:t>
      </w:r>
      <w:r>
        <w:rPr>
          <w:rFonts w:hint="eastAsia" w:ascii="宋体" w:hAnsi="宋体"/>
          <w:color w:val="auto"/>
          <w:szCs w:val="21"/>
          <w:highlight w:val="none"/>
        </w:rPr>
        <w:t>套（含电子文档）。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工程竣工验收合格后  个月内移交给发包人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ascii="宋体" w:hAnsi="宋体"/>
          <w:color w:val="auto"/>
          <w:szCs w:val="21"/>
          <w:highlight w:val="none"/>
          <w:u w:val="single"/>
        </w:rPr>
        <w:t>完整的书面文件及电子文档</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3.1.10.4承包人应服从发包人要求的管理模式、工作方式和工作要求，同时接受监理人、跟审单位的管理和全程监督，配合项目结、决算的办理。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bookmarkStart w:id="1278" w:name="_Toc532377336"/>
      <w:r>
        <w:rPr>
          <w:rFonts w:hint="eastAsia" w:ascii="宋体" w:hAnsi="宋体"/>
          <w:color w:val="auto"/>
          <w:szCs w:val="21"/>
          <w:highlight w:val="none"/>
        </w:rPr>
        <w:t>3.1.10.6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3.2 项目经理</w:t>
      </w:r>
      <w:bookmarkEnd w:id="1278"/>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不少于22天，由监理人负责项目经理的考勤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                   </w:t>
      </w:r>
      <w:r>
        <w:rPr>
          <w:rFonts w:hint="eastAsia" w:ascii="宋体" w:hAnsi="宋体"/>
          <w:color w:val="auto"/>
          <w:szCs w:val="21"/>
          <w:highlight w:val="none"/>
        </w:rPr>
        <w:t>；</w:t>
      </w:r>
    </w:p>
    <w:p>
      <w:pPr>
        <w:pStyle w:val="2"/>
        <w:spacing w:after="0"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不少于22天，由监理人负责技术负责人的考勤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highlight w:val="none"/>
        </w:rPr>
        <w:t>。</w:t>
      </w:r>
      <w:bookmarkStart w:id="1279" w:name="_Hlk528927599"/>
    </w:p>
    <w:bookmarkEnd w:id="1279"/>
    <w:p>
      <w:pPr>
        <w:spacing w:line="360" w:lineRule="auto"/>
        <w:ind w:firstLine="420" w:firstLineChars="200"/>
        <w:jc w:val="left"/>
        <w:rPr>
          <w:rFonts w:ascii="宋体" w:hAnsi="宋体"/>
          <w:color w:val="auto"/>
          <w:szCs w:val="21"/>
          <w:highlight w:val="none"/>
        </w:rPr>
      </w:pPr>
      <w:bookmarkStart w:id="1280" w:name="_Hlk528927718"/>
      <w:r>
        <w:rPr>
          <w:rFonts w:hint="eastAsia" w:ascii="宋体" w:hAnsi="宋体"/>
          <w:color w:val="auto"/>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28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7、非承包人原因导致确需变更的其它情形。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国有资金投资项目其他主要人员变更参照《重庆市政府投资项目合同变更管理暂行办法》的规定。</w:t>
      </w:r>
    </w:p>
    <w:p>
      <w:pPr>
        <w:pStyle w:val="7"/>
        <w:spacing w:before="0" w:beforeAutospacing="0" w:after="0" w:afterAutospacing="0" w:line="360" w:lineRule="auto"/>
        <w:ind w:firstLine="422" w:firstLineChars="200"/>
        <w:rPr>
          <w:color w:val="auto"/>
          <w:sz w:val="21"/>
          <w:szCs w:val="21"/>
          <w:highlight w:val="none"/>
        </w:rPr>
      </w:pPr>
      <w:bookmarkStart w:id="1281" w:name="_Toc532377337"/>
      <w:r>
        <w:rPr>
          <w:rFonts w:hint="eastAsia"/>
          <w:color w:val="auto"/>
          <w:sz w:val="21"/>
          <w:szCs w:val="21"/>
          <w:highlight w:val="none"/>
        </w:rPr>
        <w:t>3.3 承包人人员</w:t>
      </w:r>
      <w:bookmarkEnd w:id="128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承包人应按建设行政主管部门现行规定配备现场施工从业人员，具体要求如下：</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82" w:name="_Toc532377338"/>
      <w:r>
        <w:rPr>
          <w:rFonts w:hint="eastAsia"/>
          <w:color w:val="auto"/>
          <w:sz w:val="21"/>
          <w:szCs w:val="21"/>
          <w:highlight w:val="none"/>
        </w:rPr>
        <w:t>3</w:t>
      </w:r>
      <w:bookmarkStart w:id="1283" w:name="_Toc296346660"/>
      <w:bookmarkStart w:id="1284" w:name="_Toc297048345"/>
      <w:bookmarkStart w:id="1285" w:name="_Toc296347158"/>
      <w:bookmarkStart w:id="1286" w:name="_Toc292559364"/>
      <w:bookmarkStart w:id="1287" w:name="_Toc297120459"/>
      <w:bookmarkStart w:id="1288" w:name="_Toc312677988"/>
      <w:bookmarkStart w:id="1289" w:name="_Toc304295523"/>
      <w:bookmarkStart w:id="1290" w:name="_Toc292559869"/>
      <w:bookmarkStart w:id="1291" w:name="_Toc296944498"/>
      <w:bookmarkStart w:id="1292" w:name="_Toc297123492"/>
      <w:bookmarkStart w:id="1293" w:name="_Toc296503159"/>
      <w:bookmarkStart w:id="1294" w:name="_Toc296891199"/>
      <w:bookmarkStart w:id="1295" w:name="_Toc300934945"/>
      <w:bookmarkStart w:id="1296" w:name="_Toc297216151"/>
      <w:bookmarkStart w:id="1297" w:name="_Toc303539102"/>
      <w:bookmarkStart w:id="1298" w:name="_Toc296890987"/>
      <w:r>
        <w:rPr>
          <w:rFonts w:hint="eastAsia"/>
          <w:color w:val="auto"/>
          <w:sz w:val="21"/>
          <w:szCs w:val="21"/>
          <w:highlight w:val="none"/>
        </w:rPr>
        <w:t>.5 分包</w:t>
      </w:r>
      <w:bookmarkEnd w:id="1282"/>
    </w:p>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299" w:name="_Toc292559365"/>
      <w:bookmarkStart w:id="1300" w:name="_Toc297216152"/>
      <w:bookmarkStart w:id="1301" w:name="_Toc318581158"/>
      <w:bookmarkStart w:id="1302" w:name="_Toc303539103"/>
      <w:bookmarkStart w:id="1303" w:name="_Toc296347159"/>
      <w:bookmarkStart w:id="1304" w:name="_Toc296944499"/>
      <w:bookmarkStart w:id="1305" w:name="_Toc297123493"/>
      <w:bookmarkStart w:id="1306" w:name="_Toc296890988"/>
      <w:bookmarkStart w:id="1307" w:name="_Toc296503160"/>
      <w:bookmarkStart w:id="1308" w:name="_Toc296891200"/>
      <w:bookmarkStart w:id="1309" w:name="_Toc296346661"/>
      <w:bookmarkStart w:id="1310" w:name="_Toc304295524"/>
      <w:bookmarkStart w:id="1311" w:name="_Toc312677989"/>
      <w:bookmarkStart w:id="1312" w:name="_Toc297048346"/>
      <w:bookmarkStart w:id="1313" w:name="_Toc300934946"/>
      <w:bookmarkStart w:id="1314" w:name="_Toc297120460"/>
      <w:bookmarkStart w:id="1315" w:name="_Toc292559870"/>
      <w:r>
        <w:rPr>
          <w:rFonts w:hint="eastAsia" w:ascii="宋体" w:hAnsi="宋体"/>
          <w:color w:val="auto"/>
          <w:szCs w:val="21"/>
          <w:highlight w:val="none"/>
        </w:rPr>
        <w:t>.5.1 分包的一般约定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禁止分包的工程包括：主体结构、关键性工作等国家法律、法规禁止分包的工程。</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主体结构、关键性工作的范围：国家法律、法规、规范、标准等所约束的范围。如房建工程主体结构指混凝土工程、砌体工程、钢结构工程（具体有基础、梁、板、柱、砼墙、楼梯工程等）</w:t>
      </w:r>
      <w:bookmarkStart w:id="1316" w:name="_Toc297216153"/>
      <w:bookmarkStart w:id="1317" w:name="_Toc303539104"/>
      <w:bookmarkStart w:id="1318" w:name="_Toc296347160"/>
      <w:bookmarkStart w:id="1319" w:name="_Toc297048347"/>
      <w:bookmarkStart w:id="1320" w:name="_Toc296944500"/>
      <w:bookmarkStart w:id="1321" w:name="_Toc300934947"/>
      <w:bookmarkStart w:id="1322" w:name="_Toc297123494"/>
      <w:bookmarkStart w:id="1323" w:name="_Toc296503161"/>
      <w:bookmarkStart w:id="1324" w:name="_Toc296891201"/>
      <w:bookmarkStart w:id="1325" w:name="_Toc296890989"/>
      <w:bookmarkStart w:id="1326" w:name="_Toc297120461"/>
      <w:bookmarkStart w:id="1327" w:name="_Toc296346662"/>
      <w:bookmarkStart w:id="1328" w:name="_Toc304295525"/>
      <w:r>
        <w:rPr>
          <w:rFonts w:hint="eastAsia" w:ascii="宋体" w:hAnsi="宋体"/>
          <w:color w:val="auto"/>
          <w:szCs w:val="21"/>
          <w:highlight w:val="none"/>
        </w:rPr>
        <w:t>；关键性工作指梁、板、柱等部位。</w:t>
      </w:r>
    </w:p>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329" w:name="_Toc312677990"/>
      <w:bookmarkStart w:id="1330" w:name="_Toc318581159"/>
      <w:r>
        <w:rPr>
          <w:rFonts w:hint="eastAsia" w:ascii="宋体" w:hAnsi="宋体"/>
          <w:color w:val="auto"/>
          <w:szCs w:val="21"/>
          <w:highlight w:val="none"/>
        </w:rPr>
        <w:t>.5.2分包的确定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允许分包的专业工程包括：</w:t>
      </w:r>
      <w:r>
        <w:rPr>
          <w:rFonts w:hint="eastAsia" w:ascii="宋体" w:hAnsi="宋体"/>
          <w:color w:val="auto"/>
          <w:szCs w:val="21"/>
          <w:highlight w:val="none"/>
          <w:u w:val="single"/>
        </w:rPr>
        <w:t xml:space="preserve">        </w:t>
      </w:r>
      <w:r>
        <w:rPr>
          <w:rFonts w:hint="eastAsia" w:ascii="宋体" w:hAnsi="宋体"/>
          <w:i/>
          <w:iCs/>
          <w:color w:val="auto"/>
          <w:szCs w:val="21"/>
          <w:highlight w:val="none"/>
        </w:rPr>
        <w:t>[提示：符合《中华人民共和国建筑法》和《中华人民共和国比选投标法》的相关规定。]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关于分包合同价款支付的约定：</w:t>
      </w:r>
      <w:bookmarkEnd w:id="1329"/>
      <w:bookmarkEnd w:id="1330"/>
      <w:r>
        <w:rPr>
          <w:rFonts w:hint="eastAsia" w:ascii="宋体" w:hAnsi="宋体"/>
          <w:color w:val="auto"/>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本款补充3.5.6项：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3.5.6严禁违法分包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spacing w:before="0" w:beforeAutospacing="0" w:after="0" w:afterAutospacing="0" w:line="360" w:lineRule="auto"/>
        <w:ind w:firstLine="422" w:firstLineChars="200"/>
        <w:rPr>
          <w:color w:val="auto"/>
          <w:sz w:val="21"/>
          <w:szCs w:val="21"/>
          <w:highlight w:val="none"/>
        </w:rPr>
      </w:pPr>
      <w:bookmarkStart w:id="1331" w:name="_Toc532377339"/>
      <w:r>
        <w:rPr>
          <w:rFonts w:hint="eastAsia"/>
          <w:color w:val="auto"/>
          <w:sz w:val="21"/>
          <w:szCs w:val="21"/>
          <w:highlight w:val="none"/>
        </w:rPr>
        <w:t>3.7 履约担保</w:t>
      </w:r>
      <w:bookmarkEnd w:id="133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（1）履约担保的形式：</w:t>
      </w:r>
      <w:r>
        <w:rPr>
          <w:rFonts w:hint="eastAsia" w:ascii="宋体" w:hAnsi="宋体"/>
          <w:color w:val="auto"/>
          <w:szCs w:val="21"/>
          <w:highlight w:val="none"/>
          <w:u w:val="single"/>
        </w:rPr>
        <w:t>现金或银行保函或现金+银行保函的组合；采用保函形式的，保函必须为不可撤销且见索即付</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（2）履约担保的金额：</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（3）履约担保的提交时间：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（4）履约担保的期限：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（5）履约担保的退还时间：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32" w:name="_Toc351203636"/>
      <w:bookmarkStart w:id="1333" w:name="_Toc532375611"/>
      <w:bookmarkStart w:id="1334" w:name="_Toc532377340"/>
      <w:r>
        <w:rPr>
          <w:rFonts w:hint="eastAsia"/>
          <w:color w:val="auto"/>
          <w:kern w:val="2"/>
          <w:sz w:val="21"/>
          <w:szCs w:val="21"/>
          <w:highlight w:val="none"/>
        </w:rPr>
        <w:t>4</w:t>
      </w:r>
      <w:bookmarkStart w:id="1335" w:name="_Toc296347161"/>
      <w:bookmarkStart w:id="1336" w:name="_Toc292559366"/>
      <w:bookmarkStart w:id="1337" w:name="_Toc297048348"/>
      <w:bookmarkStart w:id="1338" w:name="_Toc296891202"/>
      <w:bookmarkStart w:id="1339" w:name="_Toc296944501"/>
      <w:bookmarkStart w:id="1340" w:name="_Toc296890990"/>
      <w:bookmarkStart w:id="1341" w:name="_Toc267251413"/>
      <w:bookmarkStart w:id="1342" w:name="_Toc296503162"/>
      <w:bookmarkStart w:id="1343" w:name="_Toc292559871"/>
      <w:bookmarkStart w:id="1344" w:name="_Toc297120462"/>
      <w:bookmarkStart w:id="1345" w:name="_Toc296346663"/>
      <w:r>
        <w:rPr>
          <w:rFonts w:hint="eastAsia"/>
          <w:color w:val="auto"/>
          <w:kern w:val="2"/>
          <w:sz w:val="21"/>
          <w:szCs w:val="21"/>
          <w:highlight w:val="none"/>
        </w:rPr>
        <w:t>. 监</w:t>
      </w:r>
      <w:bookmarkEnd w:id="1335"/>
      <w:bookmarkEnd w:id="1336"/>
      <w:bookmarkEnd w:id="1337"/>
      <w:bookmarkEnd w:id="1338"/>
      <w:bookmarkEnd w:id="1339"/>
      <w:bookmarkEnd w:id="1340"/>
      <w:bookmarkEnd w:id="1341"/>
      <w:bookmarkEnd w:id="1342"/>
      <w:bookmarkEnd w:id="1343"/>
      <w:bookmarkEnd w:id="1344"/>
      <w:bookmarkEnd w:id="1345"/>
      <w:r>
        <w:rPr>
          <w:rFonts w:hint="eastAsia"/>
          <w:color w:val="auto"/>
          <w:kern w:val="2"/>
          <w:sz w:val="21"/>
          <w:szCs w:val="21"/>
          <w:highlight w:val="none"/>
        </w:rPr>
        <w:t>理人</w:t>
      </w:r>
      <w:bookmarkEnd w:id="1332"/>
      <w:bookmarkEnd w:id="1333"/>
      <w:bookmarkEnd w:id="1334"/>
    </w:p>
    <w:p>
      <w:pPr>
        <w:pStyle w:val="7"/>
        <w:spacing w:before="0" w:beforeAutospacing="0" w:after="0" w:afterAutospacing="0" w:line="360" w:lineRule="auto"/>
        <w:ind w:firstLine="422" w:firstLineChars="200"/>
        <w:rPr>
          <w:color w:val="auto"/>
          <w:sz w:val="21"/>
          <w:szCs w:val="21"/>
          <w:highlight w:val="none"/>
        </w:rPr>
      </w:pPr>
      <w:bookmarkStart w:id="1346" w:name="_Toc532377341"/>
      <w:r>
        <w:rPr>
          <w:rFonts w:hint="eastAsia"/>
          <w:color w:val="auto"/>
          <w:sz w:val="21"/>
          <w:szCs w:val="21"/>
          <w:highlight w:val="none"/>
        </w:rPr>
        <w:t>4.1 监理人的一般规定</w:t>
      </w:r>
      <w:bookmarkEnd w:id="134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                   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347" w:name="_Toc532377342"/>
      <w:r>
        <w:rPr>
          <w:rFonts w:hint="eastAsia"/>
          <w:color w:val="auto"/>
          <w:sz w:val="21"/>
          <w:szCs w:val="21"/>
          <w:highlight w:val="none"/>
        </w:rPr>
        <w:t>4.2 监理人员</w:t>
      </w:r>
      <w:bookmarkEnd w:id="134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pPr>
        <w:pStyle w:val="7"/>
        <w:spacing w:before="0" w:beforeAutospacing="0" w:after="0" w:afterAutospacing="0" w:line="360" w:lineRule="auto"/>
        <w:ind w:firstLine="420" w:firstLineChars="200"/>
        <w:rPr>
          <w:b w:val="0"/>
          <w:color w:val="auto"/>
          <w:sz w:val="21"/>
          <w:szCs w:val="21"/>
          <w:highlight w:val="none"/>
        </w:rPr>
      </w:pPr>
      <w:bookmarkStart w:id="1348" w:name="_Toc532377343"/>
      <w:r>
        <w:rPr>
          <w:rFonts w:hint="eastAsia"/>
          <w:b w:val="0"/>
          <w:color w:val="auto"/>
          <w:sz w:val="21"/>
          <w:szCs w:val="21"/>
          <w:highlight w:val="none"/>
        </w:rPr>
        <w:t>4.4 商定或确定</w:t>
      </w:r>
      <w:bookmarkEnd w:id="1348"/>
    </w:p>
    <w:p>
      <w:pPr>
        <w:spacing w:line="360" w:lineRule="auto"/>
        <w:ind w:firstLine="420" w:firstLineChars="200"/>
        <w:jc w:val="left"/>
        <w:rPr>
          <w:rFonts w:ascii="宋体" w:hAnsi="宋体"/>
          <w:color w:val="auto"/>
          <w:szCs w:val="21"/>
          <w:highlight w:val="none"/>
        </w:rPr>
      </w:pPr>
      <w:bookmarkStart w:id="1349" w:name="_Toc267251418"/>
      <w:r>
        <w:rPr>
          <w:rFonts w:hint="eastAsia" w:ascii="宋体" w:hAnsi="宋体"/>
          <w:color w:val="auto"/>
          <w:szCs w:val="21"/>
          <w:highlight w:val="none"/>
        </w:rPr>
        <w:t>在发包人和承包人不能通过协商达成一致意见时，发包人授权监理人对以下事项进行确定：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                   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50" w:name="_Toc532375612"/>
      <w:bookmarkStart w:id="1351" w:name="_Toc532377344"/>
      <w:bookmarkStart w:id="1352" w:name="_Toc351203637"/>
      <w:r>
        <w:rPr>
          <w:rFonts w:hint="eastAsia"/>
          <w:color w:val="auto"/>
          <w:kern w:val="2"/>
          <w:sz w:val="21"/>
          <w:szCs w:val="21"/>
          <w:highlight w:val="none"/>
        </w:rPr>
        <w:t>5</w:t>
      </w:r>
      <w:bookmarkEnd w:id="1349"/>
      <w:bookmarkStart w:id="1353" w:name="_Toc296503163"/>
      <w:bookmarkStart w:id="1354" w:name="_Toc292559367"/>
      <w:bookmarkStart w:id="1355" w:name="_Toc296891203"/>
      <w:bookmarkStart w:id="1356" w:name="_Toc296346664"/>
      <w:bookmarkStart w:id="1357" w:name="_Toc297048349"/>
      <w:bookmarkStart w:id="1358" w:name="_Toc296347162"/>
      <w:bookmarkStart w:id="1359" w:name="_Toc296944502"/>
      <w:bookmarkStart w:id="1360" w:name="_Toc292559872"/>
      <w:bookmarkStart w:id="1361" w:name="_Toc296890991"/>
      <w:bookmarkStart w:id="1362" w:name="_Toc297120463"/>
      <w:r>
        <w:rPr>
          <w:rFonts w:hint="eastAsia"/>
          <w:color w:val="auto"/>
          <w:kern w:val="2"/>
          <w:sz w:val="21"/>
          <w:szCs w:val="21"/>
          <w:highlight w:val="none"/>
        </w:rPr>
        <w:t>. 工程质量</w:t>
      </w:r>
      <w:bookmarkEnd w:id="1350"/>
      <w:bookmarkEnd w:id="1351"/>
      <w:bookmarkEnd w:id="1352"/>
    </w:p>
    <w:p>
      <w:pPr>
        <w:pStyle w:val="7"/>
        <w:spacing w:before="0" w:beforeAutospacing="0" w:after="0" w:afterAutospacing="0" w:line="360" w:lineRule="auto"/>
        <w:ind w:firstLine="422" w:firstLineChars="200"/>
        <w:rPr>
          <w:color w:val="auto"/>
          <w:sz w:val="21"/>
          <w:szCs w:val="21"/>
          <w:highlight w:val="none"/>
        </w:rPr>
      </w:pPr>
      <w:bookmarkStart w:id="1363" w:name="_Toc532377345"/>
      <w:r>
        <w:rPr>
          <w:rFonts w:hint="eastAsia"/>
          <w:color w:val="auto"/>
          <w:sz w:val="21"/>
          <w:szCs w:val="21"/>
          <w:highlight w:val="none"/>
        </w:rPr>
        <w:t>5.1 质量要求</w:t>
      </w:r>
      <w:bookmarkEnd w:id="1363"/>
      <w:bookmarkStart w:id="1364" w:name="_Hlk528909888"/>
      <w:bookmarkStart w:id="1365" w:name="_Toc312677997"/>
      <w:bookmarkStart w:id="1366" w:name="_Toc303539106"/>
      <w:bookmarkStart w:id="1367" w:name="_Toc297216155"/>
      <w:bookmarkStart w:id="1368" w:name="_Toc297123496"/>
      <w:bookmarkStart w:id="1369" w:name="_Toc318581164"/>
      <w:bookmarkStart w:id="1370" w:name="_Toc300934949"/>
      <w:bookmarkStart w:id="1371" w:name="_Toc30429552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工程质量符合强制性质量标准，符合国家和重庆市现行有关施工质量验收规范要求，并达到合格标准</w:t>
      </w:r>
      <w:r>
        <w:rPr>
          <w:rFonts w:hint="eastAsia" w:ascii="宋体" w:hAnsi="宋体"/>
          <w:color w:val="auto"/>
          <w:szCs w:val="21"/>
          <w:highlight w:val="none"/>
        </w:rPr>
        <w:t>。强制性安全质量标准有（包括但不限于）：</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364"/>
    <w:p>
      <w:pPr>
        <w:pStyle w:val="7"/>
        <w:spacing w:before="0" w:beforeAutospacing="0" w:after="0" w:afterAutospacing="0" w:line="360" w:lineRule="auto"/>
        <w:ind w:firstLine="422" w:firstLineChars="200"/>
        <w:rPr>
          <w:color w:val="auto"/>
          <w:sz w:val="21"/>
          <w:szCs w:val="21"/>
          <w:highlight w:val="none"/>
        </w:rPr>
      </w:pPr>
      <w:bookmarkStart w:id="1372" w:name="_Toc532377346"/>
      <w:r>
        <w:rPr>
          <w:rFonts w:hint="eastAsia"/>
          <w:color w:val="auto"/>
          <w:sz w:val="21"/>
          <w:szCs w:val="21"/>
          <w:highlight w:val="none"/>
        </w:rPr>
        <w:t>5.2 质量保证措施</w:t>
      </w:r>
      <w:bookmarkEnd w:id="137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《关于印发&lt;重庆市房屋建筑和市政基础设施工程预拌商品砂浆应用推进工作方案&gt;的通知》（渝建〔2018〕375号）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pPr>
        <w:pStyle w:val="7"/>
        <w:spacing w:before="0" w:beforeAutospacing="0" w:after="0" w:afterAutospacing="0" w:line="360" w:lineRule="auto"/>
        <w:ind w:firstLine="422" w:firstLineChars="200"/>
        <w:rPr>
          <w:color w:val="auto"/>
          <w:sz w:val="21"/>
          <w:szCs w:val="21"/>
          <w:highlight w:val="none"/>
        </w:rPr>
      </w:pPr>
      <w:bookmarkStart w:id="1373" w:name="_Toc351203536"/>
      <w:bookmarkStart w:id="1374" w:name="_Toc532377347"/>
      <w:bookmarkStart w:id="1375" w:name="_Hlk528927873"/>
      <w:r>
        <w:rPr>
          <w:rFonts w:hint="eastAsia"/>
          <w:color w:val="auto"/>
          <w:sz w:val="21"/>
          <w:szCs w:val="21"/>
          <w:highlight w:val="none"/>
        </w:rPr>
        <w:t>5.3隐蔽工程检查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工程隐蔽部位经承包人自检确认具备覆盖条件的，承包人应在共同检查前</w:t>
      </w:r>
      <w:r>
        <w:rPr>
          <w:rFonts w:hint="eastAsia" w:ascii="宋体" w:hAnsi="宋体"/>
          <w:color w:val="auto"/>
          <w:szCs w:val="21"/>
          <w:highlight w:val="none"/>
          <w:u w:val="single"/>
        </w:rPr>
        <w:t xml:space="preserve">    </w:t>
      </w:r>
      <w:r>
        <w:rPr>
          <w:rFonts w:hint="eastAsia" w:ascii="宋体" w:hAnsi="宋体"/>
          <w:color w:val="auto"/>
          <w:szCs w:val="21"/>
          <w:highlight w:val="none"/>
        </w:rPr>
        <w:t>小时书面通知监理人检查，通知中应载明隐蔽检查的内容、时间和地点，并应附有自检记录和必要的检查资料。</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5</w:t>
      </w:r>
      <w:bookmarkStart w:id="1376" w:name="_Toc337558762"/>
      <w:r>
        <w:rPr>
          <w:rFonts w:hint="eastAsia"/>
          <w:color w:val="auto"/>
          <w:sz w:val="21"/>
          <w:szCs w:val="21"/>
          <w:highlight w:val="none"/>
        </w:rPr>
        <w:t>.4 不合格工程的处理</w:t>
      </w:r>
      <w:bookmarkEnd w:id="1373"/>
      <w:bookmarkEnd w:id="1374"/>
    </w:p>
    <w:bookmarkEnd w:id="137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1375"/>
    <w:p>
      <w:pPr>
        <w:pStyle w:val="7"/>
        <w:spacing w:before="0" w:beforeAutospacing="0" w:after="0" w:afterAutospacing="0" w:line="360" w:lineRule="auto"/>
        <w:ind w:firstLine="422" w:firstLineChars="200"/>
        <w:rPr>
          <w:color w:val="auto"/>
          <w:sz w:val="21"/>
          <w:szCs w:val="21"/>
          <w:highlight w:val="none"/>
        </w:rPr>
      </w:pPr>
      <w:bookmarkStart w:id="1377" w:name="_Toc532377348"/>
      <w:r>
        <w:rPr>
          <w:rFonts w:hint="eastAsia"/>
          <w:color w:val="auto"/>
          <w:sz w:val="21"/>
          <w:szCs w:val="21"/>
          <w:highlight w:val="none"/>
        </w:rPr>
        <w:t>5.6 质量事故的处理</w:t>
      </w:r>
      <w:bookmarkEnd w:id="137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5.6.1 </w:t>
      </w:r>
      <w:r>
        <w:rPr>
          <w:rFonts w:hint="eastAsia" w:ascii="宋体" w:hAnsi="宋体"/>
          <w:color w:val="auto"/>
          <w:sz w:val="21"/>
          <w:szCs w:val="21"/>
          <w:highlight w:val="none"/>
        </w:rPr>
        <w:t>各潜在投标人</w:t>
      </w:r>
      <w:r>
        <w:rPr>
          <w:rFonts w:hint="eastAsia" w:ascii="宋体" w:hAnsi="宋体"/>
          <w:color w:val="auto"/>
          <w:sz w:val="21"/>
          <w:szCs w:val="21"/>
          <w:highlight w:val="none"/>
          <w:lang w:val="en-US" w:eastAsia="zh-CN"/>
        </w:rPr>
        <w:t>须</w:t>
      </w:r>
      <w:r>
        <w:rPr>
          <w:rFonts w:hint="eastAsia" w:ascii="宋体" w:hAnsi="宋体"/>
          <w:color w:val="auto"/>
          <w:sz w:val="21"/>
          <w:szCs w:val="21"/>
          <w:highlight w:val="none"/>
        </w:rPr>
        <w:t>在投标文件中</w:t>
      </w:r>
      <w:r>
        <w:rPr>
          <w:rFonts w:hint="eastAsia" w:ascii="宋体" w:hAnsi="宋体"/>
          <w:color w:val="auto"/>
          <w:sz w:val="21"/>
          <w:szCs w:val="21"/>
          <w:highlight w:val="none"/>
          <w:lang w:val="en-US" w:eastAsia="zh-CN"/>
        </w:rPr>
        <w:t>单独</w:t>
      </w:r>
      <w:r>
        <w:rPr>
          <w:rFonts w:hint="eastAsia" w:ascii="宋体" w:hAnsi="宋体"/>
          <w:color w:val="auto"/>
          <w:sz w:val="21"/>
          <w:szCs w:val="21"/>
          <w:highlight w:val="none"/>
        </w:rPr>
        <w:t>书面</w:t>
      </w:r>
      <w:r>
        <w:rPr>
          <w:rFonts w:hint="eastAsia" w:ascii="宋体" w:hAnsi="宋体"/>
          <w:color w:val="auto"/>
          <w:sz w:val="21"/>
          <w:szCs w:val="21"/>
          <w:highlight w:val="none"/>
          <w:lang w:val="en-US" w:eastAsia="zh-CN"/>
        </w:rPr>
        <w:t>响 应</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如中标，在</w:t>
      </w:r>
      <w:r>
        <w:rPr>
          <w:rFonts w:hint="eastAsia" w:ascii="宋体" w:hAnsi="宋体"/>
          <w:color w:val="auto"/>
          <w:szCs w:val="21"/>
          <w:highlight w:val="none"/>
        </w:rPr>
        <w:t>合同履行过程中，发生工程质量事故的调查处理按照国家及重庆市现行规定处理。</w:t>
      </w:r>
      <w:r>
        <w:rPr>
          <w:rFonts w:hint="eastAsia" w:ascii="宋体" w:hAnsi="宋体"/>
          <w:bCs/>
          <w:color w:val="auto"/>
          <w:szCs w:val="21"/>
          <w:highlight w:val="none"/>
          <w:lang w:val="en-US" w:eastAsia="zh-CN"/>
        </w:rPr>
        <w:t>否 则，视为不响 应比选文件要求。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353"/>
    <w:bookmarkEnd w:id="1354"/>
    <w:bookmarkEnd w:id="1355"/>
    <w:bookmarkEnd w:id="1356"/>
    <w:bookmarkEnd w:id="1357"/>
    <w:bookmarkEnd w:id="1358"/>
    <w:bookmarkEnd w:id="1359"/>
    <w:bookmarkEnd w:id="1360"/>
    <w:bookmarkEnd w:id="1361"/>
    <w:bookmarkEnd w:id="1362"/>
    <w:bookmarkEnd w:id="1365"/>
    <w:bookmarkEnd w:id="1366"/>
    <w:bookmarkEnd w:id="1367"/>
    <w:bookmarkEnd w:id="1368"/>
    <w:bookmarkEnd w:id="1369"/>
    <w:bookmarkEnd w:id="1370"/>
    <w:bookmarkEnd w:id="1371"/>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78" w:name="_Toc532377349"/>
      <w:bookmarkStart w:id="1379" w:name="_Toc532375613"/>
      <w:bookmarkStart w:id="1380" w:name="_Toc351203638"/>
      <w:bookmarkStart w:id="1381" w:name="_Toc296891001"/>
      <w:bookmarkStart w:id="1382" w:name="_Toc296346674"/>
      <w:bookmarkStart w:id="1383" w:name="_Toc292559378"/>
      <w:bookmarkStart w:id="1384" w:name="_Toc351203642"/>
      <w:bookmarkStart w:id="1385" w:name="_Toc296347172"/>
      <w:bookmarkStart w:id="1386" w:name="_Toc296891213"/>
      <w:bookmarkStart w:id="1387" w:name="_Toc292559883"/>
      <w:bookmarkStart w:id="1388" w:name="_Toc267251427"/>
      <w:bookmarkStart w:id="1389" w:name="_Toc296503173"/>
      <w:bookmarkStart w:id="1390" w:name="_Toc297120473"/>
      <w:bookmarkStart w:id="1391" w:name="_Toc296944512"/>
      <w:bookmarkStart w:id="1392" w:name="_Toc297048359"/>
      <w:bookmarkStart w:id="1393" w:name="_Toc267251428"/>
      <w:r>
        <w:rPr>
          <w:rFonts w:hint="eastAsia"/>
          <w:color w:val="auto"/>
          <w:kern w:val="2"/>
          <w:sz w:val="21"/>
          <w:szCs w:val="21"/>
          <w:highlight w:val="none"/>
        </w:rPr>
        <w:t>6. 安全文明施工与环境保护</w:t>
      </w:r>
      <w:bookmarkEnd w:id="1378"/>
      <w:bookmarkEnd w:id="1379"/>
      <w:bookmarkEnd w:id="1380"/>
    </w:p>
    <w:p>
      <w:pPr>
        <w:pStyle w:val="7"/>
        <w:spacing w:before="0" w:beforeAutospacing="0" w:after="0" w:afterAutospacing="0" w:line="360" w:lineRule="auto"/>
        <w:ind w:firstLine="422" w:firstLineChars="200"/>
        <w:rPr>
          <w:color w:val="auto"/>
          <w:sz w:val="21"/>
          <w:szCs w:val="21"/>
          <w:highlight w:val="none"/>
        </w:rPr>
      </w:pPr>
      <w:bookmarkStart w:id="1394" w:name="_Toc532377350"/>
      <w:bookmarkStart w:id="1395" w:name="_Toc532375614"/>
      <w:r>
        <w:rPr>
          <w:rFonts w:hint="eastAsia"/>
          <w:color w:val="auto"/>
          <w:sz w:val="21"/>
          <w:szCs w:val="21"/>
          <w:highlight w:val="none"/>
        </w:rPr>
        <w:t>6.1 安全文明施工</w:t>
      </w:r>
      <w:bookmarkEnd w:id="1394"/>
      <w:bookmarkEnd w:id="139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达到《建筑施工安全检查标准》（JGJ59-2011）的要求</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（4）承包人在施工过程中，必须严格执行安全生产法的相关规定，制定切实可靠的安全技术措施</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关于安全文明施工费支付比例和支付期限的约定：按照行业主管部门相关规定</w:t>
      </w:r>
      <w:r>
        <w:rPr>
          <w:rFonts w:hint="eastAsia" w:ascii="宋体" w:hAnsi="宋体"/>
          <w:color w:val="auto"/>
          <w:szCs w:val="21"/>
          <w:highlight w:val="none"/>
          <w:u w:val="single"/>
        </w:rPr>
        <w:t xml:space="preserve">                 </w:t>
      </w:r>
      <w:r>
        <w:rPr>
          <w:rFonts w:hint="eastAsia" w:ascii="宋体" w:hAnsi="宋体"/>
          <w:color w:val="auto"/>
          <w:szCs w:val="21"/>
          <w:highlight w:val="none"/>
        </w:rPr>
        <w:t>执行。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396" w:name="_Toc532375615"/>
      <w:bookmarkStart w:id="1397" w:name="_Toc532377351"/>
      <w:r>
        <w:rPr>
          <w:rFonts w:hint="eastAsia"/>
          <w:color w:val="auto"/>
          <w:sz w:val="21"/>
          <w:szCs w:val="21"/>
          <w:highlight w:val="none"/>
        </w:rPr>
        <w:t>6.3 环境保护</w:t>
      </w:r>
      <w:bookmarkEnd w:id="1396"/>
      <w:bookmarkEnd w:id="1397"/>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各潜在投标人</w:t>
      </w:r>
      <w:r>
        <w:rPr>
          <w:rFonts w:hint="eastAsia" w:ascii="宋体" w:hAnsi="宋体"/>
          <w:color w:val="auto"/>
          <w:szCs w:val="21"/>
          <w:highlight w:val="none"/>
          <w:lang w:val="en-US" w:eastAsia="zh-CN"/>
        </w:rPr>
        <w:t>须</w:t>
      </w:r>
      <w:r>
        <w:rPr>
          <w:rFonts w:hint="eastAsia" w:ascii="宋体" w:hAnsi="宋体"/>
          <w:color w:val="auto"/>
          <w:szCs w:val="21"/>
          <w:highlight w:val="none"/>
        </w:rPr>
        <w:t>在投标文件中</w:t>
      </w:r>
      <w:r>
        <w:rPr>
          <w:rFonts w:hint="eastAsia" w:ascii="宋体" w:hAnsi="宋体"/>
          <w:color w:val="auto"/>
          <w:szCs w:val="21"/>
          <w:highlight w:val="none"/>
          <w:lang w:val="en-US" w:eastAsia="zh-CN"/>
        </w:rPr>
        <w:t>单独</w:t>
      </w:r>
      <w:r>
        <w:rPr>
          <w:rFonts w:hint="eastAsia" w:ascii="宋体" w:hAnsi="宋体"/>
          <w:color w:val="auto"/>
          <w:szCs w:val="21"/>
          <w:highlight w:val="none"/>
        </w:rPr>
        <w:t>书面</w:t>
      </w:r>
      <w:r>
        <w:rPr>
          <w:rFonts w:hint="eastAsia" w:ascii="宋体" w:hAnsi="宋体"/>
          <w:color w:val="auto"/>
          <w:szCs w:val="21"/>
          <w:highlight w:val="none"/>
          <w:lang w:val="en-US" w:eastAsia="zh-CN"/>
        </w:rPr>
        <w:t>响 应</w:t>
      </w:r>
      <w:r>
        <w:rPr>
          <w:rFonts w:hint="eastAsia" w:ascii="宋体" w:hAnsi="宋体"/>
          <w:color w:val="auto"/>
          <w:szCs w:val="21"/>
          <w:highlight w:val="none"/>
        </w:rPr>
        <w:t>，</w:t>
      </w:r>
      <w:r>
        <w:rPr>
          <w:rFonts w:hint="eastAsia" w:ascii="宋体" w:hAnsi="宋体"/>
          <w:color w:val="auto"/>
          <w:szCs w:val="21"/>
          <w:highlight w:val="none"/>
          <w:lang w:val="en-US" w:eastAsia="zh-CN"/>
        </w:rPr>
        <w:t>格式自拟。</w:t>
      </w:r>
      <w:r>
        <w:rPr>
          <w:rFonts w:hint="eastAsia" w:ascii="宋体" w:hAnsi="宋体"/>
          <w:bCs/>
          <w:color w:val="auto"/>
          <w:szCs w:val="21"/>
          <w:highlight w:val="none"/>
          <w:lang w:val="en-US" w:eastAsia="zh-CN"/>
        </w:rPr>
        <w:t>否 则，视为不响 应比选文件要求。</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ascii="宋体" w:hAnsi="宋体"/>
          <w:color w:val="auto"/>
          <w:szCs w:val="21"/>
          <w:highlight w:val="none"/>
        </w:rPr>
      </w:pPr>
      <w:bookmarkStart w:id="1398" w:name="_Toc532375616"/>
      <w:bookmarkStart w:id="1399" w:name="_Toc351203639"/>
      <w:bookmarkStart w:id="1400" w:name="_Toc532377352"/>
      <w:r>
        <w:rPr>
          <w:rFonts w:hint="eastAsia" w:ascii="宋体" w:hAnsi="宋体"/>
          <w:color w:val="auto"/>
          <w:szCs w:val="21"/>
          <w:highlight w:val="none"/>
        </w:rPr>
        <w:t xml:space="preserve">6.3.9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r>
        <w:rPr>
          <w:rFonts w:hint="eastAsia"/>
          <w:color w:val="auto"/>
          <w:kern w:val="2"/>
          <w:sz w:val="21"/>
          <w:szCs w:val="21"/>
          <w:highlight w:val="none"/>
        </w:rPr>
        <w:t>7. 工期和进度</w:t>
      </w:r>
      <w:bookmarkEnd w:id="1398"/>
      <w:bookmarkEnd w:id="1399"/>
      <w:bookmarkEnd w:id="1400"/>
    </w:p>
    <w:p>
      <w:pPr>
        <w:pStyle w:val="7"/>
        <w:spacing w:before="0" w:beforeAutospacing="0" w:after="0" w:afterAutospacing="0" w:line="360" w:lineRule="auto"/>
        <w:ind w:firstLine="422" w:firstLineChars="200"/>
        <w:rPr>
          <w:color w:val="auto"/>
          <w:sz w:val="21"/>
          <w:szCs w:val="21"/>
          <w:highlight w:val="none"/>
        </w:rPr>
      </w:pPr>
      <w:bookmarkStart w:id="1401" w:name="_Toc532375617"/>
      <w:bookmarkStart w:id="1402" w:name="_Toc532377353"/>
      <w:r>
        <w:rPr>
          <w:rFonts w:hint="eastAsia"/>
          <w:color w:val="auto"/>
          <w:sz w:val="21"/>
          <w:szCs w:val="21"/>
          <w:highlight w:val="none"/>
        </w:rPr>
        <w:t>7.1 施工组织设计</w:t>
      </w:r>
      <w:bookmarkEnd w:id="1401"/>
      <w:bookmarkEnd w:id="1402"/>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合同签订后  天内，但最迟不得晚于开工通知载明的开工日期前7天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收到施工组织设计后  天内</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403" w:name="_Toc532375618"/>
      <w:bookmarkStart w:id="1404" w:name="_Toc532377354"/>
      <w:r>
        <w:rPr>
          <w:rFonts w:hint="eastAsia"/>
          <w:color w:val="auto"/>
          <w:sz w:val="21"/>
          <w:szCs w:val="21"/>
          <w:highlight w:val="none"/>
        </w:rPr>
        <w:t>7.2 施工进度计划</w:t>
      </w:r>
      <w:bookmarkEnd w:id="1403"/>
      <w:bookmarkEnd w:id="140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收到修订的施工进度计划后  天内</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405" w:name="_Toc532377355"/>
      <w:bookmarkStart w:id="1406" w:name="_Toc532375619"/>
      <w:bookmarkStart w:id="1407" w:name="_Toc304295541"/>
      <w:bookmarkStart w:id="1408" w:name="_Toc303539123"/>
      <w:bookmarkStart w:id="1409" w:name="_Toc312677479"/>
      <w:bookmarkStart w:id="1410" w:name="_Toc300934966"/>
      <w:bookmarkStart w:id="1411" w:name="_Toc312678005"/>
      <w:bookmarkStart w:id="1412" w:name="_Toc297123514"/>
      <w:bookmarkStart w:id="1413" w:name="_Toc297216173"/>
      <w:r>
        <w:rPr>
          <w:rFonts w:hint="eastAsia"/>
          <w:color w:val="auto"/>
          <w:sz w:val="21"/>
          <w:szCs w:val="21"/>
          <w:highlight w:val="none"/>
        </w:rPr>
        <w:t>7.3 开工</w:t>
      </w:r>
      <w:bookmarkEnd w:id="1405"/>
      <w:bookmarkEnd w:id="140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bookmarkEnd w:id="1407"/>
    <w:bookmarkEnd w:id="1408"/>
    <w:bookmarkEnd w:id="1409"/>
    <w:bookmarkEnd w:id="1410"/>
    <w:bookmarkEnd w:id="1411"/>
    <w:bookmarkEnd w:id="1412"/>
    <w:bookmarkEnd w:id="1413"/>
    <w:p>
      <w:pPr>
        <w:pStyle w:val="7"/>
        <w:spacing w:before="0" w:beforeAutospacing="0" w:after="0" w:afterAutospacing="0" w:line="360" w:lineRule="auto"/>
        <w:ind w:firstLine="422" w:firstLineChars="200"/>
        <w:rPr>
          <w:color w:val="auto"/>
          <w:sz w:val="21"/>
          <w:szCs w:val="21"/>
          <w:highlight w:val="none"/>
        </w:rPr>
      </w:pPr>
      <w:bookmarkStart w:id="1414" w:name="_Toc532377356"/>
      <w:bookmarkStart w:id="1415" w:name="_Toc532375620"/>
      <w:r>
        <w:rPr>
          <w:rFonts w:hint="eastAsia"/>
          <w:color w:val="auto"/>
          <w:sz w:val="21"/>
          <w:szCs w:val="21"/>
          <w:highlight w:val="none"/>
        </w:rPr>
        <w:t>7.4 测量放线</w:t>
      </w:r>
      <w:bookmarkEnd w:id="1414"/>
      <w:bookmarkEnd w:id="141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416" w:name="_Toc532375621"/>
      <w:bookmarkStart w:id="1417" w:name="_Toc532377357"/>
      <w:r>
        <w:rPr>
          <w:rFonts w:hint="eastAsia"/>
          <w:color w:val="auto"/>
          <w:sz w:val="21"/>
          <w:szCs w:val="21"/>
          <w:highlight w:val="none"/>
        </w:rPr>
        <w:t>7</w:t>
      </w:r>
      <w:bookmarkStart w:id="1418" w:name="_Toc300934968"/>
      <w:bookmarkStart w:id="1419" w:name="_Toc303539125"/>
      <w:bookmarkStart w:id="1420" w:name="_Toc297123516"/>
      <w:bookmarkStart w:id="1421" w:name="_Toc297216175"/>
      <w:bookmarkStart w:id="1422" w:name="_Toc312677484"/>
      <w:bookmarkStart w:id="1423" w:name="_Toc312678010"/>
      <w:bookmarkStart w:id="1424" w:name="_Toc304295546"/>
      <w:r>
        <w:rPr>
          <w:rFonts w:hint="eastAsia"/>
          <w:color w:val="auto"/>
          <w:sz w:val="21"/>
          <w:szCs w:val="21"/>
          <w:highlight w:val="none"/>
        </w:rPr>
        <w:t>.5 工期延误</w:t>
      </w:r>
      <w:bookmarkEnd w:id="1416"/>
      <w:bookmarkEnd w:id="1417"/>
    </w:p>
    <w:bookmarkEnd w:id="1418"/>
    <w:bookmarkEnd w:id="1419"/>
    <w:bookmarkEnd w:id="1420"/>
    <w:bookmarkEnd w:id="1421"/>
    <w:bookmarkEnd w:id="1422"/>
    <w:bookmarkEnd w:id="1423"/>
    <w:bookmarkEnd w:id="1424"/>
    <w:p>
      <w:pPr>
        <w:spacing w:line="360" w:lineRule="auto"/>
        <w:ind w:firstLine="420" w:firstLineChars="200"/>
        <w:jc w:val="left"/>
        <w:rPr>
          <w:rFonts w:ascii="宋体" w:hAnsi="宋体"/>
          <w:color w:val="auto"/>
          <w:szCs w:val="21"/>
          <w:highlight w:val="none"/>
        </w:rPr>
      </w:pPr>
      <w:bookmarkStart w:id="1425" w:name="_Hlk528927940"/>
      <w:r>
        <w:rPr>
          <w:rFonts w:hint="eastAsia" w:ascii="宋体" w:hAnsi="宋体"/>
          <w:color w:val="auto"/>
          <w:szCs w:val="21"/>
          <w:highlight w:val="none"/>
        </w:rPr>
        <w:t>7.5.1 因发包人原因导致工期延误：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在合同履行过程中，除通用条款约定外，因下列情况导致工期延误和（或）费用增加的，由发包人承担由此延误的工期和（或）增加的费用：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（3）监理人未按合同约定发出指示、批准等文件，且该未按合同约定发出指示、批准直接影响项目关键线路的；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（4）变更未及时审批，直接影响项目关键线路的；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（5）实施变更直接影响项目关键线路的；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（6）因发包人原因导致工程暂停施工、停建、缓建的；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（7）因征地拆迁、当地群众阻工等情形的；</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1425"/>
    <w:p>
      <w:pPr>
        <w:pStyle w:val="7"/>
        <w:spacing w:before="0" w:beforeAutospacing="0" w:after="0" w:afterAutospacing="0" w:line="360" w:lineRule="auto"/>
        <w:ind w:firstLine="422" w:firstLineChars="200"/>
        <w:rPr>
          <w:color w:val="auto"/>
          <w:sz w:val="21"/>
          <w:szCs w:val="21"/>
          <w:highlight w:val="none"/>
        </w:rPr>
      </w:pPr>
      <w:bookmarkStart w:id="1426" w:name="_Toc532375622"/>
      <w:bookmarkStart w:id="1427" w:name="_Toc532377358"/>
      <w:bookmarkStart w:id="1428" w:name="_Hlk528927997"/>
      <w:r>
        <w:rPr>
          <w:rFonts w:hint="eastAsia"/>
          <w:color w:val="auto"/>
          <w:sz w:val="21"/>
          <w:szCs w:val="21"/>
          <w:highlight w:val="none"/>
        </w:rPr>
        <w:t>7</w:t>
      </w:r>
      <w:bookmarkStart w:id="1429" w:name="_Toc300934971"/>
      <w:bookmarkStart w:id="1430" w:name="_Toc312678015"/>
      <w:bookmarkStart w:id="1431" w:name="_Toc297123519"/>
      <w:bookmarkStart w:id="1432" w:name="_Toc303539128"/>
      <w:bookmarkStart w:id="1433" w:name="_Toc304295549"/>
      <w:bookmarkStart w:id="1434" w:name="_Toc297216178"/>
      <w:r>
        <w:rPr>
          <w:rFonts w:hint="eastAsia"/>
          <w:color w:val="auto"/>
          <w:sz w:val="21"/>
          <w:szCs w:val="21"/>
          <w:highlight w:val="none"/>
        </w:rPr>
        <w:t>.6 不</w:t>
      </w:r>
      <w:bookmarkEnd w:id="1429"/>
      <w:bookmarkEnd w:id="1430"/>
      <w:bookmarkEnd w:id="1431"/>
      <w:bookmarkEnd w:id="1432"/>
      <w:bookmarkEnd w:id="1433"/>
      <w:bookmarkEnd w:id="1434"/>
      <w:r>
        <w:rPr>
          <w:rFonts w:hint="eastAsia"/>
          <w:color w:val="auto"/>
          <w:sz w:val="21"/>
          <w:szCs w:val="21"/>
          <w:highlight w:val="none"/>
        </w:rPr>
        <w:t>利物质条件</w:t>
      </w:r>
      <w:bookmarkEnd w:id="1426"/>
      <w:bookmarkEnd w:id="1427"/>
    </w:p>
    <w:bookmarkEnd w:id="1428"/>
    <w:p>
      <w:pPr>
        <w:spacing w:line="360" w:lineRule="auto"/>
        <w:ind w:firstLine="420" w:firstLineChars="200"/>
        <w:jc w:val="left"/>
        <w:rPr>
          <w:rFonts w:ascii="宋体" w:hAnsi="宋体"/>
          <w:bCs/>
          <w:color w:val="auto"/>
          <w:szCs w:val="21"/>
          <w:highlight w:val="none"/>
        </w:rPr>
      </w:pPr>
      <w:bookmarkStart w:id="1435" w:name="_Toc312678016"/>
      <w:bookmarkStart w:id="1436" w:name="_Toc300934972"/>
      <w:bookmarkStart w:id="1437" w:name="_Toc318581172"/>
      <w:bookmarkStart w:id="1438" w:name="_Toc297216179"/>
      <w:bookmarkStart w:id="1439" w:name="_Toc304295550"/>
      <w:bookmarkStart w:id="1440" w:name="_Toc303539129"/>
      <w:bookmarkStart w:id="1441" w:name="_Toc297123520"/>
      <w:r>
        <w:rPr>
          <w:rFonts w:hint="eastAsia" w:ascii="宋体" w:hAnsi="宋体"/>
          <w:color w:val="auto"/>
          <w:szCs w:val="21"/>
          <w:highlight w:val="none"/>
        </w:rPr>
        <w:t>不利物质条件的其他情形和有关约定：</w:t>
      </w:r>
      <w:bookmarkStart w:id="1442" w:name="_Hlk528910274"/>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435"/>
    <w:bookmarkEnd w:id="1436"/>
    <w:bookmarkEnd w:id="1437"/>
    <w:bookmarkEnd w:id="1438"/>
    <w:bookmarkEnd w:id="1439"/>
    <w:bookmarkEnd w:id="1440"/>
    <w:bookmarkEnd w:id="1441"/>
    <w:bookmarkEnd w:id="1442"/>
    <w:p>
      <w:pPr>
        <w:pStyle w:val="7"/>
        <w:spacing w:before="0" w:beforeAutospacing="0" w:after="0" w:afterAutospacing="0" w:line="360" w:lineRule="auto"/>
        <w:ind w:firstLine="422" w:firstLineChars="200"/>
        <w:rPr>
          <w:color w:val="auto"/>
          <w:sz w:val="21"/>
          <w:szCs w:val="21"/>
          <w:highlight w:val="none"/>
        </w:rPr>
      </w:pPr>
      <w:bookmarkStart w:id="1443" w:name="_Toc532375623"/>
      <w:bookmarkStart w:id="1444" w:name="_Toc532377359"/>
      <w:r>
        <w:rPr>
          <w:rFonts w:hint="eastAsia"/>
          <w:color w:val="auto"/>
          <w:sz w:val="21"/>
          <w:szCs w:val="21"/>
          <w:highlight w:val="none"/>
        </w:rPr>
        <w:t>7</w:t>
      </w:r>
      <w:bookmarkStart w:id="1445" w:name="_Toc312678017"/>
      <w:bookmarkStart w:id="1446" w:name="_Toc297123521"/>
      <w:bookmarkStart w:id="1447" w:name="_Toc304295551"/>
      <w:bookmarkStart w:id="1448" w:name="_Toc297216180"/>
      <w:bookmarkStart w:id="1449" w:name="_Toc303539130"/>
      <w:bookmarkStart w:id="1450" w:name="_Toc300934973"/>
      <w:r>
        <w:rPr>
          <w:rFonts w:hint="eastAsia"/>
          <w:color w:val="auto"/>
          <w:sz w:val="21"/>
          <w:szCs w:val="21"/>
          <w:highlight w:val="none"/>
        </w:rPr>
        <w:t>.7异常恶劣的气候条件</w:t>
      </w:r>
      <w:bookmarkEnd w:id="1443"/>
      <w:bookmarkEnd w:id="1444"/>
    </w:p>
    <w:bookmarkEnd w:id="1445"/>
    <w:bookmarkEnd w:id="1446"/>
    <w:bookmarkEnd w:id="1447"/>
    <w:bookmarkEnd w:id="1448"/>
    <w:bookmarkEnd w:id="1449"/>
    <w:bookmarkEnd w:id="1450"/>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（异常气候是指项目所在地50年以上一遇的罕见气候现象）</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451" w:name="_Toc532375624"/>
      <w:bookmarkStart w:id="1452" w:name="_Toc532377360"/>
      <w:r>
        <w:rPr>
          <w:rFonts w:hint="eastAsia"/>
          <w:color w:val="auto"/>
          <w:sz w:val="21"/>
          <w:szCs w:val="21"/>
          <w:highlight w:val="none"/>
        </w:rPr>
        <w:t>7.9 提前竣工</w:t>
      </w:r>
      <w:bookmarkEnd w:id="1451"/>
      <w:bookmarkEnd w:id="145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ascii="宋体" w:hAnsi="宋体"/>
          <w:color w:val="auto"/>
          <w:szCs w:val="21"/>
          <w:highlight w:val="none"/>
          <w:u w:val="single"/>
        </w:rPr>
        <w:t xml:space="preserve">    元/天，不超过签约合同价的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453" w:name="_Toc532377361"/>
      <w:bookmarkStart w:id="1454" w:name="_Toc532375625"/>
      <w:bookmarkStart w:id="1455" w:name="_Toc351203640"/>
      <w:r>
        <w:rPr>
          <w:rFonts w:hint="eastAsia"/>
          <w:color w:val="auto"/>
          <w:kern w:val="2"/>
          <w:sz w:val="21"/>
          <w:szCs w:val="21"/>
          <w:highlight w:val="none"/>
        </w:rPr>
        <w:t>8. 材料与设备</w:t>
      </w:r>
      <w:bookmarkEnd w:id="1453"/>
      <w:bookmarkEnd w:id="1454"/>
      <w:bookmarkEnd w:id="1455"/>
    </w:p>
    <w:p>
      <w:pPr>
        <w:pStyle w:val="7"/>
        <w:spacing w:before="0" w:beforeAutospacing="0" w:after="0" w:afterAutospacing="0" w:line="360" w:lineRule="auto"/>
        <w:ind w:firstLine="422" w:firstLineChars="200"/>
        <w:rPr>
          <w:color w:val="auto"/>
          <w:sz w:val="21"/>
          <w:szCs w:val="21"/>
          <w:highlight w:val="none"/>
        </w:rPr>
      </w:pPr>
      <w:bookmarkStart w:id="1456" w:name="_Toc532377362"/>
      <w:bookmarkStart w:id="1457" w:name="_Toc532375626"/>
      <w:r>
        <w:rPr>
          <w:rFonts w:hint="eastAsia"/>
          <w:color w:val="auto"/>
          <w:sz w:val="21"/>
          <w:szCs w:val="21"/>
          <w:highlight w:val="none"/>
        </w:rPr>
        <w:t>8.1发包人供应材料与工程设备</w:t>
      </w:r>
      <w:bookmarkEnd w:id="1456"/>
      <w:bookmarkEnd w:id="145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发包人应提供甲供材料的明细表，结算时按经监理人、承包人共同确认的供应数量乘以比选时甲供材料暂定价格，在支付工程款时扣除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458" w:name="_Toc351203554"/>
      <w:bookmarkStart w:id="1459" w:name="_Toc532375627"/>
      <w:bookmarkStart w:id="1460" w:name="_Toc532377363"/>
      <w:r>
        <w:rPr>
          <w:rFonts w:hint="eastAsia"/>
          <w:color w:val="auto"/>
          <w:sz w:val="21"/>
          <w:szCs w:val="21"/>
          <w:highlight w:val="none"/>
        </w:rPr>
        <w:t>8</w:t>
      </w:r>
      <w:bookmarkStart w:id="1461" w:name="_Toc337558778"/>
      <w:bookmarkStart w:id="1462" w:name="_Toc296346561"/>
      <w:bookmarkStart w:id="1463" w:name="_Toc296503060"/>
      <w:r>
        <w:rPr>
          <w:rFonts w:hint="eastAsia"/>
          <w:color w:val="auto"/>
          <w:sz w:val="21"/>
          <w:szCs w:val="21"/>
          <w:highlight w:val="none"/>
        </w:rPr>
        <w:t>.2 承包人采购材料与工程设备</w:t>
      </w:r>
      <w:bookmarkEnd w:id="1458"/>
      <w:bookmarkEnd w:id="1459"/>
      <w:bookmarkEnd w:id="1460"/>
    </w:p>
    <w:bookmarkEnd w:id="1461"/>
    <w:bookmarkEnd w:id="1462"/>
    <w:bookmarkEnd w:id="1463"/>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由承包人自行采购。承包人采购材料设备必须经监理人和发包人批准，结算时由监理人和发包人按竞争性比选文件规定审核的数量和合同约定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按发包人及监理单位的相关规定执行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E.承包人采购的材料在使用前，应按发包人和监理人的要求进行检验或试验，不合格的不得使用。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F.</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464" w:name="_Toc532377364"/>
      <w:bookmarkStart w:id="1465" w:name="_Toc532375628"/>
      <w:r>
        <w:rPr>
          <w:rFonts w:hint="eastAsia"/>
          <w:color w:val="auto"/>
          <w:sz w:val="21"/>
          <w:szCs w:val="21"/>
          <w:highlight w:val="none"/>
        </w:rPr>
        <w:t>8</w:t>
      </w:r>
      <w:bookmarkStart w:id="1466" w:name="_Toc296503167"/>
      <w:bookmarkStart w:id="1467" w:name="_Toc300934979"/>
      <w:bookmarkStart w:id="1468" w:name="_Toc296944506"/>
      <w:bookmarkStart w:id="1469" w:name="_Toc303539136"/>
      <w:bookmarkStart w:id="1470" w:name="_Toc304295556"/>
      <w:bookmarkStart w:id="1471" w:name="_Toc297123527"/>
      <w:bookmarkStart w:id="1472" w:name="_Toc312678019"/>
      <w:bookmarkStart w:id="1473" w:name="_Toc292559877"/>
      <w:bookmarkStart w:id="1474" w:name="_Toc292559372"/>
      <w:bookmarkStart w:id="1475" w:name="_Toc296346668"/>
      <w:bookmarkStart w:id="1476" w:name="_Toc280868654"/>
      <w:bookmarkStart w:id="1477" w:name="_Toc297048353"/>
      <w:bookmarkStart w:id="1478" w:name="_Toc296890995"/>
      <w:bookmarkStart w:id="1479" w:name="_Toc296891207"/>
      <w:bookmarkStart w:id="1480" w:name="_Toc296347166"/>
      <w:bookmarkStart w:id="1481" w:name="_Toc297216186"/>
      <w:bookmarkStart w:id="1482" w:name="_Toc297120467"/>
      <w:bookmarkStart w:id="1483" w:name="_Toc312677493"/>
      <w:bookmarkStart w:id="1484" w:name="_Toc267251424"/>
      <w:bookmarkStart w:id="1485" w:name="_Toc280868656"/>
      <w:bookmarkStart w:id="1486" w:name="_Toc280868655"/>
      <w:r>
        <w:rPr>
          <w:rFonts w:hint="eastAsia"/>
          <w:color w:val="auto"/>
          <w:sz w:val="21"/>
          <w:szCs w:val="21"/>
          <w:highlight w:val="none"/>
        </w:rPr>
        <w:t>.4 材料与工程设备的保管与使用</w:t>
      </w:r>
      <w:bookmarkEnd w:id="1464"/>
      <w:bookmarkEnd w:id="1465"/>
    </w:p>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1487" w:name="_Toc292559878"/>
      <w:bookmarkStart w:id="1488" w:name="_Toc292559373"/>
      <w:bookmarkStart w:id="1489" w:name="_Toc296890996"/>
      <w:bookmarkStart w:id="1490" w:name="_Toc303539137"/>
      <w:bookmarkStart w:id="1491" w:name="_Toc318581173"/>
      <w:bookmarkStart w:id="1492" w:name="_Toc312678020"/>
      <w:bookmarkStart w:id="1493" w:name="_Toc296347167"/>
      <w:bookmarkStart w:id="1494" w:name="_Toc297216187"/>
      <w:bookmarkStart w:id="1495" w:name="_Toc296891208"/>
      <w:bookmarkStart w:id="1496" w:name="_Toc300934980"/>
      <w:bookmarkStart w:id="1497" w:name="_Toc297123528"/>
      <w:bookmarkStart w:id="1498" w:name="_Toc312677494"/>
      <w:bookmarkStart w:id="1499" w:name="_Toc304295557"/>
      <w:bookmarkStart w:id="1500" w:name="_Toc296346669"/>
      <w:bookmarkStart w:id="1501" w:name="_Toc296503168"/>
      <w:bookmarkStart w:id="1502" w:name="_Toc297120468"/>
      <w:bookmarkStart w:id="1503" w:name="_Toc296944507"/>
      <w:bookmarkStart w:id="1504" w:name="_Toc297048354"/>
      <w:r>
        <w:rPr>
          <w:rFonts w:hint="eastAsia" w:ascii="宋体" w:hAnsi="宋体"/>
          <w:color w:val="auto"/>
          <w:szCs w:val="21"/>
          <w:highlight w:val="none"/>
        </w:rPr>
        <w:t>.4.1 发包人供应的材料设备的保管费用的承担：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1487"/>
      <w:bookmarkEnd w:id="1488"/>
    </w:p>
    <w:p>
      <w:pPr>
        <w:pStyle w:val="7"/>
        <w:spacing w:before="0" w:beforeAutospacing="0" w:after="0" w:afterAutospacing="0" w:line="360" w:lineRule="auto"/>
        <w:ind w:firstLine="422" w:firstLineChars="200"/>
        <w:rPr>
          <w:color w:val="auto"/>
          <w:sz w:val="21"/>
          <w:szCs w:val="21"/>
          <w:highlight w:val="none"/>
        </w:rPr>
      </w:pPr>
      <w:bookmarkStart w:id="1505" w:name="_Toc532375629"/>
      <w:bookmarkStart w:id="1506" w:name="_Toc532377365"/>
      <w:r>
        <w:rPr>
          <w:rFonts w:hint="eastAsia"/>
          <w:color w:val="auto"/>
          <w:sz w:val="21"/>
          <w:szCs w:val="21"/>
          <w:highlight w:val="none"/>
        </w:rPr>
        <w:t>8.6 样品</w:t>
      </w:r>
      <w:bookmarkEnd w:id="1505"/>
      <w:bookmarkEnd w:id="1506"/>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507" w:name="_Toc532375630"/>
      <w:bookmarkStart w:id="1508" w:name="_Toc532377366"/>
      <w:r>
        <w:rPr>
          <w:rFonts w:hint="eastAsia"/>
          <w:color w:val="auto"/>
          <w:sz w:val="21"/>
          <w:szCs w:val="21"/>
          <w:highlight w:val="none"/>
        </w:rPr>
        <w:t>8.8 施工设备和临时设施</w:t>
      </w:r>
      <w:bookmarkEnd w:id="1507"/>
      <w:bookmarkEnd w:id="1508"/>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rPr>
        <w:t>。</w:t>
      </w:r>
    </w:p>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509" w:name="_Toc351203641"/>
      <w:bookmarkStart w:id="1510" w:name="_Toc532377367"/>
      <w:bookmarkStart w:id="1511" w:name="_Toc532375631"/>
      <w:r>
        <w:rPr>
          <w:rFonts w:hint="eastAsia"/>
          <w:color w:val="auto"/>
          <w:kern w:val="2"/>
          <w:sz w:val="21"/>
          <w:szCs w:val="21"/>
          <w:highlight w:val="none"/>
        </w:rPr>
        <w:t>9</w:t>
      </w:r>
      <w:bookmarkEnd w:id="1484"/>
      <w:bookmarkEnd w:id="1485"/>
      <w:bookmarkEnd w:id="1486"/>
      <w:bookmarkStart w:id="1512" w:name="_Toc304295559"/>
      <w:bookmarkStart w:id="1513" w:name="_Toc312677495"/>
      <w:bookmarkStart w:id="1514" w:name="_Toc297123533"/>
      <w:bookmarkStart w:id="1515" w:name="_Toc303539139"/>
      <w:bookmarkStart w:id="1516" w:name="_Toc300934982"/>
      <w:bookmarkStart w:id="1517" w:name="_Toc297216192"/>
      <w:bookmarkStart w:id="1518" w:name="_Toc312678021"/>
      <w:r>
        <w:rPr>
          <w:rFonts w:hint="eastAsia"/>
          <w:color w:val="auto"/>
          <w:kern w:val="2"/>
          <w:sz w:val="21"/>
          <w:szCs w:val="21"/>
          <w:highlight w:val="none"/>
        </w:rPr>
        <w:t>. 试验与检验</w:t>
      </w:r>
      <w:bookmarkEnd w:id="1509"/>
      <w:bookmarkEnd w:id="1510"/>
      <w:bookmarkEnd w:id="1511"/>
    </w:p>
    <w:bookmarkEnd w:id="1512"/>
    <w:bookmarkEnd w:id="1513"/>
    <w:bookmarkEnd w:id="1514"/>
    <w:bookmarkEnd w:id="1515"/>
    <w:bookmarkEnd w:id="1516"/>
    <w:bookmarkEnd w:id="1517"/>
    <w:bookmarkEnd w:id="1518"/>
    <w:p>
      <w:pPr>
        <w:pStyle w:val="7"/>
        <w:spacing w:before="0" w:beforeAutospacing="0" w:after="0" w:afterAutospacing="0" w:line="360" w:lineRule="auto"/>
        <w:ind w:firstLine="422" w:firstLineChars="200"/>
        <w:rPr>
          <w:color w:val="auto"/>
          <w:sz w:val="21"/>
          <w:szCs w:val="21"/>
          <w:highlight w:val="none"/>
        </w:rPr>
      </w:pPr>
      <w:bookmarkStart w:id="1519" w:name="_Toc532375632"/>
      <w:bookmarkStart w:id="1520" w:name="_Toc532377368"/>
      <w:r>
        <w:rPr>
          <w:rFonts w:hint="eastAsia"/>
          <w:color w:val="auto"/>
          <w:sz w:val="21"/>
          <w:szCs w:val="21"/>
          <w:highlight w:val="none"/>
        </w:rPr>
        <w:t>9</w:t>
      </w:r>
      <w:bookmarkStart w:id="1521" w:name="_Toc297123534"/>
      <w:bookmarkStart w:id="1522" w:name="_Toc312678022"/>
      <w:bookmarkStart w:id="1523" w:name="_Toc312677496"/>
      <w:bookmarkStart w:id="1524" w:name="_Toc303539140"/>
      <w:bookmarkStart w:id="1525" w:name="_Toc304295560"/>
      <w:bookmarkStart w:id="1526" w:name="_Toc300934983"/>
      <w:bookmarkStart w:id="1527" w:name="_Toc297216193"/>
      <w:r>
        <w:rPr>
          <w:rFonts w:hint="eastAsia"/>
          <w:color w:val="auto"/>
          <w:sz w:val="21"/>
          <w:szCs w:val="21"/>
          <w:highlight w:val="none"/>
        </w:rPr>
        <w:t>.1 试验设备与试验人员</w:t>
      </w:r>
      <w:bookmarkEnd w:id="1519"/>
      <w:bookmarkEnd w:id="1520"/>
    </w:p>
    <w:bookmarkEnd w:id="1521"/>
    <w:bookmarkEnd w:id="1522"/>
    <w:bookmarkEnd w:id="1523"/>
    <w:bookmarkEnd w:id="1524"/>
    <w:bookmarkEnd w:id="1525"/>
    <w:bookmarkEnd w:id="1526"/>
    <w:bookmarkEnd w:id="1527"/>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1528" w:name="_Toc303539141"/>
      <w:bookmarkStart w:id="1529" w:name="_Toc312678023"/>
      <w:bookmarkStart w:id="1530" w:name="_Toc304295561"/>
      <w:bookmarkStart w:id="1531" w:name="_Toc300934984"/>
      <w:bookmarkStart w:id="1532" w:name="_Toc297123535"/>
      <w:bookmarkStart w:id="1533" w:name="_Toc312677497"/>
      <w:bookmarkStart w:id="1534" w:name="_Toc297216194"/>
      <w:bookmarkStart w:id="1535" w:name="_Toc318581174"/>
      <w:r>
        <w:rPr>
          <w:rFonts w:hint="eastAsia" w:ascii="宋体" w:hAnsi="宋体"/>
          <w:color w:val="auto"/>
          <w:szCs w:val="21"/>
          <w:highlight w:val="none"/>
        </w:rPr>
        <w:t>.1.2 试验设备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1528"/>
      <w:bookmarkEnd w:id="1529"/>
      <w:bookmarkEnd w:id="1530"/>
      <w:bookmarkEnd w:id="1531"/>
      <w:bookmarkEnd w:id="1532"/>
      <w:bookmarkEnd w:id="1533"/>
      <w:bookmarkEnd w:id="1534"/>
      <w:bookmarkStart w:id="1536" w:name="_Toc297123536"/>
      <w:bookmarkStart w:id="1537" w:name="_Toc312677498"/>
      <w:bookmarkStart w:id="1538" w:name="_Toc300934985"/>
      <w:bookmarkStart w:id="1539" w:name="_Toc304295562"/>
      <w:bookmarkStart w:id="1540" w:name="_Toc303539142"/>
      <w:bookmarkStart w:id="1541" w:name="_Toc312678024"/>
      <w:bookmarkStart w:id="1542" w:name="_Toc297216195"/>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543" w:name="_Toc532375633"/>
      <w:bookmarkStart w:id="1544" w:name="_Toc532377369"/>
      <w:r>
        <w:rPr>
          <w:rFonts w:hint="eastAsia"/>
          <w:color w:val="auto"/>
          <w:sz w:val="21"/>
          <w:szCs w:val="21"/>
          <w:highlight w:val="none"/>
        </w:rPr>
        <w:t>9.4 现场工艺试验</w:t>
      </w:r>
      <w:bookmarkEnd w:id="1543"/>
      <w:bookmarkEnd w:id="154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本款补充9.4.1～9.4.5项：</w:t>
      </w:r>
    </w:p>
    <w:bookmarkEnd w:id="1535"/>
    <w:bookmarkEnd w:id="1536"/>
    <w:bookmarkEnd w:id="1537"/>
    <w:bookmarkEnd w:id="1538"/>
    <w:bookmarkEnd w:id="1539"/>
    <w:bookmarkEnd w:id="1540"/>
    <w:bookmarkEnd w:id="1541"/>
    <w:bookmarkEnd w:id="1542"/>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9.4.5检测试验不合格的项目，其缺陷处理和复测费用由承包人承担，工期不予延长。</w:t>
      </w:r>
    </w:p>
    <w:bookmarkEnd w:id="1381"/>
    <w:bookmarkEnd w:id="1382"/>
    <w:bookmarkEnd w:id="1383"/>
    <w:bookmarkEnd w:id="1384"/>
    <w:bookmarkEnd w:id="1385"/>
    <w:bookmarkEnd w:id="1386"/>
    <w:bookmarkEnd w:id="1387"/>
    <w:bookmarkEnd w:id="1388"/>
    <w:bookmarkEnd w:id="1389"/>
    <w:bookmarkEnd w:id="1390"/>
    <w:bookmarkEnd w:id="1391"/>
    <w:bookmarkEnd w:id="1392"/>
    <w:bookmarkEnd w:id="1393"/>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545" w:name="_Toc532375634"/>
      <w:bookmarkStart w:id="1546" w:name="_Toc532377370"/>
      <w:bookmarkStart w:id="1547" w:name="_Hlk524298112"/>
      <w:bookmarkStart w:id="1548" w:name="_Toc267251486"/>
      <w:bookmarkStart w:id="1549" w:name="_Toc267251490"/>
      <w:bookmarkStart w:id="1550" w:name="_Toc267251489"/>
      <w:bookmarkStart w:id="1551" w:name="_Toc267251484"/>
      <w:bookmarkStart w:id="1552" w:name="_Toc267251488"/>
      <w:bookmarkStart w:id="1553" w:name="_Toc267251485"/>
      <w:bookmarkStart w:id="1554" w:name="_Toc267251482"/>
      <w:bookmarkStart w:id="1555" w:name="_Toc267251507"/>
      <w:bookmarkStart w:id="1556" w:name="_Toc267251493"/>
      <w:bookmarkStart w:id="1557" w:name="_Toc267251501"/>
      <w:bookmarkStart w:id="1558" w:name="_Toc267251506"/>
      <w:bookmarkStart w:id="1559" w:name="_Toc267251491"/>
      <w:bookmarkStart w:id="1560" w:name="_Toc267251494"/>
      <w:bookmarkStart w:id="1561" w:name="_Toc267251508"/>
      <w:bookmarkStart w:id="1562" w:name="_Toc267251502"/>
      <w:bookmarkStart w:id="1563" w:name="_Toc267251504"/>
      <w:bookmarkStart w:id="1564" w:name="_Toc267251513"/>
      <w:bookmarkStart w:id="1565" w:name="_Toc267251495"/>
      <w:bookmarkStart w:id="1566" w:name="_Toc267251497"/>
      <w:bookmarkStart w:id="1567" w:name="_Toc267251514"/>
      <w:bookmarkStart w:id="1568" w:name="_Toc267251510"/>
      <w:bookmarkStart w:id="1569" w:name="_Toc267251499"/>
      <w:bookmarkStart w:id="1570" w:name="_Toc267251511"/>
      <w:bookmarkStart w:id="1571" w:name="_Toc267251509"/>
      <w:bookmarkStart w:id="1572" w:name="_Toc267251496"/>
      <w:bookmarkStart w:id="1573" w:name="_Toc267251515"/>
      <w:bookmarkStart w:id="1574" w:name="_Toc267251498"/>
      <w:bookmarkStart w:id="1575" w:name="_Toc267251492"/>
      <w:bookmarkStart w:id="1576" w:name="_Toc267251503"/>
      <w:r>
        <w:rPr>
          <w:rFonts w:hint="eastAsia"/>
          <w:color w:val="auto"/>
          <w:kern w:val="2"/>
          <w:sz w:val="21"/>
          <w:szCs w:val="21"/>
          <w:highlight w:val="none"/>
        </w:rPr>
        <w:t>1</w:t>
      </w:r>
      <w:bookmarkStart w:id="1577" w:name="_Toc297216199"/>
      <w:bookmarkStart w:id="1578" w:name="_Toc297048379"/>
      <w:bookmarkStart w:id="1579" w:name="_Toc296891021"/>
      <w:bookmarkStart w:id="1580" w:name="_Toc296891233"/>
      <w:bookmarkStart w:id="1581" w:name="_Toc296944532"/>
      <w:bookmarkStart w:id="1582" w:name="_Toc296346694"/>
      <w:bookmarkStart w:id="1583" w:name="_Toc292559398"/>
      <w:bookmarkStart w:id="1584" w:name="_Toc296347192"/>
      <w:bookmarkStart w:id="1585" w:name="_Toc292559903"/>
      <w:bookmarkStart w:id="1586" w:name="_Toc297120493"/>
      <w:bookmarkStart w:id="1587" w:name="_Toc297123540"/>
      <w:bookmarkStart w:id="1588" w:name="_Toc303539146"/>
      <w:bookmarkStart w:id="1589" w:name="_Toc300934989"/>
      <w:bookmarkStart w:id="1590" w:name="_Toc304295566"/>
      <w:bookmarkStart w:id="1591" w:name="_Toc296503193"/>
      <w:bookmarkStart w:id="1592" w:name="_Toc312678025"/>
      <w:bookmarkStart w:id="1593" w:name="_Toc312677499"/>
      <w:bookmarkStart w:id="1594" w:name="_Toc267251433"/>
      <w:bookmarkStart w:id="1595" w:name="_Toc267251440"/>
      <w:bookmarkStart w:id="1596" w:name="_Toc267251441"/>
      <w:bookmarkStart w:id="1597" w:name="_Toc267251437"/>
      <w:bookmarkStart w:id="1598" w:name="_Toc267251439"/>
      <w:bookmarkStart w:id="1599" w:name="_Toc267251435"/>
      <w:r>
        <w:rPr>
          <w:rFonts w:hint="eastAsia"/>
          <w:color w:val="auto"/>
          <w:kern w:val="2"/>
          <w:sz w:val="21"/>
          <w:szCs w:val="21"/>
          <w:highlight w:val="none"/>
        </w:rPr>
        <w:t>0. 变更</w:t>
      </w:r>
      <w:bookmarkEnd w:id="1545"/>
      <w:bookmarkEnd w:id="154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p>
    <w:bookmarkEnd w:id="1592"/>
    <w:bookmarkEnd w:id="1593"/>
    <w:p>
      <w:pPr>
        <w:pStyle w:val="7"/>
        <w:spacing w:before="0" w:beforeAutospacing="0" w:after="0" w:afterAutospacing="0" w:line="360" w:lineRule="auto"/>
        <w:ind w:firstLine="422" w:firstLineChars="200"/>
        <w:rPr>
          <w:color w:val="auto"/>
          <w:sz w:val="21"/>
          <w:szCs w:val="21"/>
          <w:highlight w:val="none"/>
        </w:rPr>
      </w:pPr>
      <w:bookmarkStart w:id="1600" w:name="_Toc532377371"/>
      <w:bookmarkStart w:id="1601" w:name="_Toc532375635"/>
      <w:r>
        <w:rPr>
          <w:rFonts w:hint="eastAsia"/>
          <w:color w:val="auto"/>
          <w:sz w:val="21"/>
          <w:szCs w:val="21"/>
          <w:highlight w:val="none"/>
        </w:rPr>
        <w:t>1</w:t>
      </w:r>
      <w:bookmarkStart w:id="1602" w:name="_Toc296891022"/>
      <w:bookmarkStart w:id="1603" w:name="_Toc312677500"/>
      <w:bookmarkStart w:id="1604" w:name="_Toc312678026"/>
      <w:bookmarkStart w:id="1605" w:name="_Toc297216200"/>
      <w:bookmarkStart w:id="1606" w:name="_Toc297120494"/>
      <w:bookmarkStart w:id="1607" w:name="_Toc292559904"/>
      <w:bookmarkStart w:id="1608" w:name="_Toc300934990"/>
      <w:bookmarkStart w:id="1609" w:name="_Toc296944533"/>
      <w:bookmarkStart w:id="1610" w:name="_Toc296346695"/>
      <w:bookmarkStart w:id="1611" w:name="_Toc297048380"/>
      <w:bookmarkStart w:id="1612" w:name="_Toc304295567"/>
      <w:bookmarkStart w:id="1613" w:name="_Toc292559399"/>
      <w:bookmarkStart w:id="1614" w:name="_Toc296891234"/>
      <w:bookmarkStart w:id="1615" w:name="_Toc303539147"/>
      <w:bookmarkStart w:id="1616" w:name="_Toc296347193"/>
      <w:bookmarkStart w:id="1617" w:name="_Toc296503194"/>
      <w:bookmarkStart w:id="1618" w:name="_Toc297123541"/>
      <w:r>
        <w:rPr>
          <w:rFonts w:hint="eastAsia"/>
          <w:color w:val="auto"/>
          <w:sz w:val="21"/>
          <w:szCs w:val="21"/>
          <w:highlight w:val="none"/>
        </w:rPr>
        <w:t>0.1变更的范围</w:t>
      </w:r>
      <w:bookmarkEnd w:id="1600"/>
      <w:bookmarkEnd w:id="160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关于变更范围的约定：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（2）取消合同中任何工作；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（4）改变工程的基线、标高、位置和尺寸；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（5）适用于工程的标准和（或）规范变化导致需要对工程进行改变，且该改变导致工期和（或）费用变化的；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（6）勘察设计变更；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（8）项目管理人员变更；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（9）因人工、原材料等价格变化导致的合同总价变更；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（10）非实施内容变化导致的工期变更；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承包人对其提供的材料、工程设备、施工、无负荷试车、热负荷试车及图纸参数存在的缺陷，自费修正、调整和完善，不属于变更。</w:t>
      </w:r>
    </w:p>
    <w:p>
      <w:pPr>
        <w:pStyle w:val="7"/>
        <w:spacing w:before="0" w:beforeAutospacing="0" w:after="0" w:afterAutospacing="0" w:line="360" w:lineRule="auto"/>
        <w:ind w:firstLine="422" w:firstLineChars="200"/>
        <w:rPr>
          <w:color w:val="auto"/>
          <w:sz w:val="21"/>
          <w:szCs w:val="21"/>
          <w:highlight w:val="none"/>
        </w:rPr>
      </w:pPr>
      <w:bookmarkStart w:id="1619" w:name="_Toc532375636"/>
      <w:bookmarkStart w:id="1620" w:name="_Toc351203569"/>
      <w:bookmarkStart w:id="1621" w:name="_Toc532377372"/>
      <w:r>
        <w:rPr>
          <w:rFonts w:hint="eastAsia"/>
          <w:color w:val="auto"/>
          <w:sz w:val="21"/>
          <w:szCs w:val="21"/>
          <w:highlight w:val="none"/>
        </w:rPr>
        <w:t>1</w:t>
      </w:r>
      <w:bookmarkStart w:id="1622" w:name="_Toc296346586"/>
      <w:bookmarkStart w:id="1623" w:name="_Toc296503085"/>
      <w:bookmarkStart w:id="1624" w:name="_Toc337558789"/>
      <w:r>
        <w:rPr>
          <w:rFonts w:hint="eastAsia"/>
          <w:color w:val="auto"/>
          <w:sz w:val="21"/>
          <w:szCs w:val="21"/>
          <w:highlight w:val="none"/>
        </w:rPr>
        <w:t>0.2变更权</w:t>
      </w:r>
      <w:bookmarkEnd w:id="1619"/>
      <w:bookmarkEnd w:id="1620"/>
      <w:bookmarkEnd w:id="1621"/>
    </w:p>
    <w:bookmarkEnd w:id="1622"/>
    <w:bookmarkEnd w:id="1623"/>
    <w:bookmarkEnd w:id="1624"/>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10.2.1发包人和监理人提出变更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若出现重大设计变更，变更后的内容超出承包人资质或能力范围的，发包人将另行依法比选选择承包单位，无需征得承包人同意。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10.2.2 承包人提出变更建议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（1）对所提方案和（或）待做工作及其实施计划的说明</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（2）承包人按照对工程进度计划进行必要修改的建议</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（3）承包人发生较大返工损失增加费用的建议</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发包人在收到上述建议书后，应尽快给予批准、否决或提出意见</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625" w:name="_Toc532375637"/>
      <w:bookmarkStart w:id="1626" w:name="_Toc532377373"/>
      <w:bookmarkStart w:id="1627" w:name="_Toc351203570"/>
      <w:bookmarkStart w:id="1628" w:name="_Hlk528928195"/>
      <w:r>
        <w:rPr>
          <w:rFonts w:hint="eastAsia"/>
          <w:color w:val="auto"/>
          <w:sz w:val="21"/>
          <w:szCs w:val="21"/>
          <w:highlight w:val="none"/>
        </w:rPr>
        <w:t>1</w:t>
      </w:r>
      <w:bookmarkStart w:id="1629" w:name="_Toc296503086"/>
      <w:bookmarkStart w:id="1630" w:name="_Toc337558790"/>
      <w:bookmarkStart w:id="1631" w:name="_Toc296346587"/>
      <w:r>
        <w:rPr>
          <w:rFonts w:hint="eastAsia"/>
          <w:color w:val="auto"/>
          <w:sz w:val="21"/>
          <w:szCs w:val="21"/>
          <w:highlight w:val="none"/>
        </w:rPr>
        <w:t>0.3变更程序</w:t>
      </w:r>
      <w:bookmarkEnd w:id="1625"/>
      <w:bookmarkEnd w:id="1626"/>
    </w:p>
    <w:bookmarkEnd w:id="1629"/>
    <w:bookmarkEnd w:id="1630"/>
    <w:bookmarkEnd w:id="1631"/>
    <w:p>
      <w:pPr>
        <w:autoSpaceDE w:val="0"/>
        <w:autoSpaceDN w:val="0"/>
        <w:spacing w:line="360" w:lineRule="auto"/>
        <w:ind w:firstLine="420" w:firstLineChars="200"/>
        <w:jc w:val="left"/>
        <w:rPr>
          <w:rFonts w:ascii="宋体" w:hAnsi="宋体"/>
          <w:color w:val="auto"/>
          <w:szCs w:val="21"/>
          <w:highlight w:val="none"/>
        </w:rPr>
      </w:pPr>
      <w:bookmarkStart w:id="1632" w:name="_Hlk524353972"/>
      <w:r>
        <w:rPr>
          <w:rFonts w:hint="eastAsia" w:ascii="宋体" w:hAnsi="宋体"/>
          <w:color w:val="auto"/>
          <w:szCs w:val="21"/>
          <w:highlight w:val="none"/>
        </w:rPr>
        <w:t>10.3.3 变更执行</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重大设计变更：需经设计人、监理人和发包人三方签名认可并报相关行业部门审查同意后实施。</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10.3.3 项增加以下内容：</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项目管理人员变更的，应当经发包人领导班子集体决策同意，并将变更信息推送给行业主管部门。变更后的项目管理人员应当符合竞争性比选文件和行业主管部门的相关规定。</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项目合同变更后，增加的实施内容达到依法必须比选的规模标准的，增加的部分应当依法通过比选选择承包单位。</w:t>
      </w:r>
    </w:p>
    <w:bookmarkEnd w:id="1627"/>
    <w:bookmarkEnd w:id="1628"/>
    <w:bookmarkEnd w:id="1632"/>
    <w:p>
      <w:pPr>
        <w:pStyle w:val="7"/>
        <w:spacing w:before="0" w:beforeAutospacing="0" w:after="0" w:afterAutospacing="0" w:line="360" w:lineRule="auto"/>
        <w:ind w:firstLine="422" w:firstLineChars="200"/>
        <w:rPr>
          <w:color w:val="auto"/>
          <w:sz w:val="21"/>
          <w:szCs w:val="21"/>
          <w:highlight w:val="none"/>
        </w:rPr>
      </w:pPr>
      <w:bookmarkStart w:id="1633" w:name="_Toc532377374"/>
      <w:bookmarkStart w:id="1634" w:name="_Toc532375638"/>
      <w:r>
        <w:rPr>
          <w:rFonts w:hint="eastAsia"/>
          <w:color w:val="auto"/>
          <w:sz w:val="21"/>
          <w:szCs w:val="21"/>
          <w:highlight w:val="none"/>
        </w:rPr>
        <w:t>10.4 变更估价</w:t>
      </w:r>
      <w:bookmarkEnd w:id="1633"/>
      <w:bookmarkEnd w:id="1634"/>
    </w:p>
    <w:p>
      <w:pPr>
        <w:spacing w:line="360" w:lineRule="auto"/>
        <w:ind w:firstLine="420" w:firstLineChars="200"/>
        <w:jc w:val="left"/>
        <w:rPr>
          <w:rFonts w:ascii="宋体" w:hAnsi="宋体"/>
          <w:color w:val="auto"/>
          <w:szCs w:val="21"/>
          <w:highlight w:val="none"/>
        </w:rPr>
      </w:pPr>
      <w:bookmarkStart w:id="1635" w:name="_Hlk524296629"/>
      <w:r>
        <w:rPr>
          <w:rFonts w:hint="eastAsia" w:ascii="宋体" w:hAnsi="宋体"/>
          <w:color w:val="auto"/>
          <w:szCs w:val="21"/>
          <w:highlight w:val="none"/>
        </w:rPr>
        <w:t>10.4.1 变更估价原则</w:t>
      </w:r>
    </w:p>
    <w:p>
      <w:pPr>
        <w:pStyle w:val="2"/>
        <w:spacing w:after="0"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当发生工程变更时，工程量按</w:t>
      </w:r>
      <w:r>
        <w:rPr>
          <w:rFonts w:hint="eastAsia" w:ascii="宋体" w:hAnsi="宋体"/>
          <w:color w:val="auto"/>
          <w:szCs w:val="21"/>
          <w:highlight w:val="none"/>
          <w:u w:val="single"/>
        </w:rPr>
        <w:t xml:space="preserve">        </w:t>
      </w:r>
      <w:r>
        <w:rPr>
          <w:rFonts w:hint="eastAsia" w:ascii="宋体" w:hAnsi="宋体"/>
          <w:color w:val="auto"/>
          <w:szCs w:val="21"/>
          <w:highlight w:val="none"/>
        </w:rPr>
        <w:t>规定的计算规则及已标价工程量清单规定的工程量计算规则计量，按以下办法计价：</w:t>
      </w:r>
      <w:bookmarkStart w:id="1636" w:name="_Hlk524770102"/>
    </w:p>
    <w:bookmarkEnd w:id="163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10.4.1.1已标价工程量清单中有相同项目的，按照相同项目单价计算；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10.4.1.2已标价工程量清单中有类似项目的，参考类似项目单价计算；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10.4.1.3已标价工程量清单中无相同项目亦无类似项目的，按照以下原则执行：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承包人报价浮动率按下列公式计算：承包人报价浮动率=（1-中标价/最高限价）×100%。</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（1）人工单价：按开标当期《重庆工程造价信息》发布的项目所在地的人工单价执行。</w:t>
      </w:r>
    </w:p>
    <w:p>
      <w:pPr>
        <w:spacing w:line="360" w:lineRule="auto"/>
        <w:ind w:firstLine="420" w:firstLineChars="200"/>
        <w:jc w:val="left"/>
        <w:rPr>
          <w:rFonts w:ascii="宋体" w:hAnsi="宋体"/>
          <w:color w:val="auto"/>
          <w:szCs w:val="21"/>
          <w:highlight w:val="none"/>
        </w:rPr>
      </w:pPr>
      <w:bookmarkStart w:id="1637" w:name="_Hlk529023896"/>
      <w:r>
        <w:rPr>
          <w:rFonts w:hint="eastAsia" w:ascii="宋体" w:hAnsi="宋体"/>
          <w:color w:val="auto"/>
          <w:szCs w:val="21"/>
          <w:highlight w:val="none"/>
        </w:rPr>
        <w:t>（2）材料单价：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①按</w:t>
      </w:r>
      <w:bookmarkStart w:id="1638" w:name="_Hlk529023354"/>
      <w:r>
        <w:rPr>
          <w:rFonts w:hint="eastAsia" w:ascii="宋体" w:hAnsi="宋体"/>
          <w:color w:val="auto"/>
          <w:szCs w:val="21"/>
          <w:highlight w:val="none"/>
        </w:rPr>
        <w:t>开标当期《重庆工程造价信息》发布的项目所在地的信息价</w:t>
      </w:r>
      <w:bookmarkEnd w:id="1638"/>
      <w:r>
        <w:rPr>
          <w:rFonts w:hint="eastAsia" w:ascii="宋体" w:hAnsi="宋体"/>
          <w:color w:val="auto"/>
          <w:szCs w:val="21"/>
          <w:highlight w:val="none"/>
        </w:rPr>
        <w:t>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②开标当期《重庆工程造价信息》中没有的，承包人投标报价中有的，按承包人投标报价中相同材料单价的最低值执行；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③开标当期《重庆工程造价信息》和承包人投标报价没有的，由承包人申报、监理人会同跟审单位、发包人根据市场行情认质核价确定。</w:t>
      </w:r>
    </w:p>
    <w:bookmarkEnd w:id="1637"/>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本款补充10.4.3项：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按照单价计算的措施项目费，应按照实际发生变化的措施项目，按照第10.4.1项〔变更估价原则〕约定执行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按总价（或系数）计算的措施项目费，应按照实际发生变化的措施项目费按承包人报价浮动率下浮后的金额计算</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highlight w:val="none"/>
        </w:rPr>
        <w:t>。</w:t>
      </w:r>
    </w:p>
    <w:bookmarkEnd w:id="1635"/>
    <w:p>
      <w:pPr>
        <w:pStyle w:val="7"/>
        <w:spacing w:before="0" w:beforeAutospacing="0" w:after="0" w:afterAutospacing="0" w:line="360" w:lineRule="auto"/>
        <w:ind w:firstLine="422" w:firstLineChars="200"/>
        <w:rPr>
          <w:color w:val="auto"/>
          <w:sz w:val="21"/>
          <w:szCs w:val="21"/>
          <w:highlight w:val="none"/>
        </w:rPr>
      </w:pPr>
      <w:bookmarkStart w:id="1639" w:name="_Toc532377375"/>
      <w:bookmarkStart w:id="1640" w:name="_Toc532375639"/>
      <w:r>
        <w:rPr>
          <w:rFonts w:hint="eastAsia"/>
          <w:color w:val="auto"/>
          <w:sz w:val="21"/>
          <w:szCs w:val="21"/>
          <w:highlight w:val="none"/>
        </w:rPr>
        <w:t>1</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Start w:id="1641" w:name="_Toc296503197"/>
      <w:bookmarkStart w:id="1642" w:name="_Toc296347196"/>
      <w:bookmarkStart w:id="1643" w:name="_Toc296944536"/>
      <w:bookmarkStart w:id="1644" w:name="_Toc296891237"/>
      <w:bookmarkStart w:id="1645" w:name="_Toc303539150"/>
      <w:bookmarkStart w:id="1646" w:name="_Toc300934993"/>
      <w:bookmarkStart w:id="1647" w:name="_Toc292559402"/>
      <w:bookmarkStart w:id="1648" w:name="_Toc292559907"/>
      <w:bookmarkStart w:id="1649" w:name="_Toc296891025"/>
      <w:bookmarkStart w:id="1650" w:name="_Toc297048383"/>
      <w:bookmarkStart w:id="1651" w:name="_Toc297120497"/>
      <w:bookmarkStart w:id="1652" w:name="_Toc296346698"/>
      <w:bookmarkStart w:id="1653" w:name="_Toc297123544"/>
      <w:bookmarkStart w:id="1654" w:name="_Toc297216203"/>
      <w:bookmarkStart w:id="1655" w:name="_Toc312677503"/>
      <w:bookmarkStart w:id="1656" w:name="_Toc312678029"/>
      <w:bookmarkStart w:id="1657" w:name="_Toc304295570"/>
      <w:r>
        <w:rPr>
          <w:rFonts w:hint="eastAsia"/>
          <w:color w:val="auto"/>
          <w:sz w:val="21"/>
          <w:szCs w:val="21"/>
          <w:highlight w:val="none"/>
        </w:rPr>
        <w:t>0.5承</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Start w:id="1658" w:name="_Toc296891031"/>
      <w:bookmarkStart w:id="1659" w:name="_Toc297123545"/>
      <w:bookmarkStart w:id="1660" w:name="_Toc297216204"/>
      <w:bookmarkStart w:id="1661" w:name="_Toc297048389"/>
      <w:bookmarkStart w:id="1662" w:name="_Toc292559913"/>
      <w:bookmarkStart w:id="1663" w:name="_Toc296944542"/>
      <w:bookmarkStart w:id="1664" w:name="_Toc303539151"/>
      <w:bookmarkStart w:id="1665" w:name="_Toc300934994"/>
      <w:bookmarkStart w:id="1666" w:name="_Toc297120503"/>
      <w:bookmarkStart w:id="1667" w:name="_Toc296346704"/>
      <w:bookmarkStart w:id="1668" w:name="_Toc296347202"/>
      <w:bookmarkStart w:id="1669" w:name="_Toc296891243"/>
      <w:bookmarkStart w:id="1670" w:name="_Toc296503203"/>
      <w:bookmarkStart w:id="1671" w:name="_Toc292559408"/>
      <w:r>
        <w:rPr>
          <w:rFonts w:hint="eastAsia"/>
          <w:color w:val="auto"/>
          <w:sz w:val="21"/>
          <w:szCs w:val="21"/>
          <w:highlight w:val="none"/>
        </w:rPr>
        <w:t>包人的合理化建议</w:t>
      </w:r>
      <w:bookmarkEnd w:id="1639"/>
      <w:bookmarkEnd w:id="1640"/>
    </w:p>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承包人提出合理化建议的，应向监理人提交合理化建议说明，说明建议的内容和理由，以及实施该建议对合同价格和（或）工期和（或）工程经济效益的影响。</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w:t>
      </w:r>
      <w:bookmarkStart w:id="1672" w:name="_Toc296503204"/>
      <w:bookmarkStart w:id="1673" w:name="_Toc312677504"/>
      <w:bookmarkStart w:id="1674" w:name="_Toc296891244"/>
      <w:bookmarkStart w:id="1675" w:name="_Toc296347203"/>
      <w:bookmarkStart w:id="1676" w:name="_Toc297048390"/>
      <w:bookmarkStart w:id="1677" w:name="_Toc318581175"/>
      <w:bookmarkStart w:id="1678" w:name="_Toc312678030"/>
      <w:bookmarkStart w:id="1679" w:name="_Toc303539152"/>
      <w:bookmarkStart w:id="1680" w:name="_Toc297123546"/>
      <w:bookmarkStart w:id="1681" w:name="_Toc296891032"/>
      <w:bookmarkStart w:id="1682" w:name="_Toc296346705"/>
      <w:bookmarkStart w:id="1683" w:name="_Toc297216205"/>
      <w:bookmarkStart w:id="1684" w:name="_Toc292559914"/>
      <w:bookmarkStart w:id="1685" w:name="_Toc296944543"/>
      <w:bookmarkStart w:id="1686" w:name="_Toc292559409"/>
      <w:bookmarkStart w:id="1687" w:name="_Toc300934995"/>
      <w:bookmarkStart w:id="1688" w:name="_Toc297120504"/>
      <w:bookmarkStart w:id="1689" w:name="_Toc304295571"/>
      <w:r>
        <w:rPr>
          <w:rFonts w:hint="eastAsia" w:ascii="宋体" w:hAnsi="宋体"/>
          <w:color w:val="auto"/>
          <w:szCs w:val="21"/>
          <w:highlight w:val="none"/>
        </w:rPr>
        <w:t>包人提出的合理化建议降低了合同价格或缩短了工期或者提高了工程经济效益的奖励的方法和金额为：</w:t>
      </w:r>
      <w:r>
        <w:rPr>
          <w:rFonts w:hint="eastAsia" w:ascii="宋体" w:hAnsi="宋体"/>
          <w:color w:val="auto"/>
          <w:szCs w:val="21"/>
          <w:highlight w:val="none"/>
          <w:u w:val="single"/>
        </w:rPr>
        <w:t>合理化建议带来经济效益的5～10 %</w:t>
      </w:r>
      <w:r>
        <w:rPr>
          <w:rFonts w:hint="eastAsia" w:ascii="宋体" w:hAnsi="宋体"/>
          <w:color w:val="auto"/>
          <w:szCs w:val="21"/>
          <w:highlight w:val="none"/>
        </w:rPr>
        <w:t>。</w:t>
      </w:r>
    </w:p>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Pr>
        <w:pStyle w:val="7"/>
        <w:spacing w:before="0" w:beforeAutospacing="0" w:after="0" w:afterAutospacing="0" w:line="360" w:lineRule="auto"/>
        <w:ind w:firstLine="422" w:firstLineChars="200"/>
        <w:rPr>
          <w:color w:val="auto"/>
          <w:sz w:val="21"/>
          <w:szCs w:val="21"/>
          <w:highlight w:val="none"/>
        </w:rPr>
      </w:pPr>
      <w:bookmarkStart w:id="1690" w:name="_Toc532377376"/>
      <w:bookmarkStart w:id="1691" w:name="_Toc532375640"/>
      <w:r>
        <w:rPr>
          <w:rFonts w:hint="eastAsia"/>
          <w:color w:val="auto"/>
          <w:sz w:val="21"/>
          <w:szCs w:val="21"/>
          <w:highlight w:val="none"/>
        </w:rPr>
        <w:t>1</w:t>
      </w:r>
      <w:bookmarkStart w:id="1692" w:name="_Toc297120499"/>
      <w:bookmarkStart w:id="1693" w:name="_Toc312677507"/>
      <w:bookmarkStart w:id="1694" w:name="_Toc296347198"/>
      <w:bookmarkStart w:id="1695" w:name="_Toc296891239"/>
      <w:bookmarkStart w:id="1696" w:name="_Toc292559404"/>
      <w:bookmarkStart w:id="1697" w:name="_Toc296944538"/>
      <w:bookmarkStart w:id="1698" w:name="_Toc297123548"/>
      <w:bookmarkStart w:id="1699" w:name="_Toc297216207"/>
      <w:bookmarkStart w:id="1700" w:name="_Toc300934997"/>
      <w:bookmarkStart w:id="1701" w:name="_Toc296503199"/>
      <w:bookmarkStart w:id="1702" w:name="_Toc296891027"/>
      <w:bookmarkStart w:id="1703" w:name="_Toc297048385"/>
      <w:bookmarkStart w:id="1704" w:name="_Toc303539154"/>
      <w:bookmarkStart w:id="1705" w:name="_Toc312678033"/>
      <w:bookmarkStart w:id="1706" w:name="_Toc304295574"/>
      <w:bookmarkStart w:id="1707" w:name="_Toc292559909"/>
      <w:bookmarkStart w:id="1708" w:name="_Toc296346700"/>
      <w:r>
        <w:rPr>
          <w:rFonts w:hint="eastAsia"/>
          <w:color w:val="auto"/>
          <w:sz w:val="21"/>
          <w:szCs w:val="21"/>
          <w:highlight w:val="none"/>
        </w:rPr>
        <w:t>0.7 暂估价</w:t>
      </w:r>
      <w:bookmarkEnd w:id="1690"/>
      <w:bookmarkEnd w:id="1691"/>
    </w:p>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相关法律法规规定必须比选规模以下的，符合可以不比选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单项合同暂估价在国家相关法律法规规定必须比选规模以上的，需依法必须比选的，由承包人、发包人共同比选确定。</w:t>
      </w:r>
    </w:p>
    <w:p>
      <w:pPr>
        <w:pStyle w:val="7"/>
        <w:spacing w:before="0" w:beforeAutospacing="0" w:after="0" w:afterAutospacing="0" w:line="360" w:lineRule="auto"/>
        <w:ind w:firstLine="422" w:firstLineChars="200"/>
        <w:rPr>
          <w:color w:val="auto"/>
          <w:sz w:val="21"/>
          <w:szCs w:val="21"/>
          <w:highlight w:val="none"/>
        </w:rPr>
      </w:pPr>
      <w:bookmarkStart w:id="1709" w:name="_Toc532377377"/>
      <w:bookmarkStart w:id="1710" w:name="_Toc532375641"/>
      <w:r>
        <w:rPr>
          <w:rFonts w:hint="eastAsia"/>
          <w:color w:val="auto"/>
          <w:sz w:val="21"/>
          <w:szCs w:val="21"/>
          <w:highlight w:val="none"/>
        </w:rPr>
        <w:t>10.8 暂列金额</w:t>
      </w:r>
      <w:bookmarkEnd w:id="1709"/>
      <w:bookmarkEnd w:id="1710"/>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711" w:name="_Toc532375642"/>
      <w:bookmarkStart w:id="1712" w:name="_Toc351203643"/>
      <w:bookmarkStart w:id="1713" w:name="_Toc532377378"/>
      <w:r>
        <w:rPr>
          <w:rFonts w:hint="eastAsia"/>
          <w:color w:val="auto"/>
          <w:kern w:val="2"/>
          <w:sz w:val="21"/>
          <w:szCs w:val="21"/>
          <w:highlight w:val="none"/>
        </w:rPr>
        <w:t>11. 价格调整</w:t>
      </w:r>
      <w:bookmarkEnd w:id="1711"/>
      <w:bookmarkEnd w:id="1712"/>
      <w:bookmarkEnd w:id="1713"/>
    </w:p>
    <w:p>
      <w:pPr>
        <w:pStyle w:val="7"/>
        <w:spacing w:before="0" w:beforeAutospacing="0" w:after="0" w:afterAutospacing="0" w:line="360" w:lineRule="auto"/>
        <w:ind w:firstLine="422" w:firstLineChars="200"/>
        <w:rPr>
          <w:color w:val="auto"/>
          <w:sz w:val="21"/>
          <w:szCs w:val="21"/>
          <w:highlight w:val="none"/>
        </w:rPr>
      </w:pPr>
      <w:bookmarkStart w:id="1714" w:name="_Toc532377379"/>
      <w:bookmarkStart w:id="1715" w:name="_Toc532375643"/>
      <w:bookmarkStart w:id="1716" w:name="_Toc296347200"/>
      <w:bookmarkStart w:id="1717" w:name="_Toc296891241"/>
      <w:bookmarkStart w:id="1718" w:name="_Toc297048387"/>
      <w:bookmarkStart w:id="1719" w:name="_Toc297216209"/>
      <w:bookmarkStart w:id="1720" w:name="_Toc297120501"/>
      <w:bookmarkStart w:id="1721" w:name="_Toc312678039"/>
      <w:bookmarkStart w:id="1722" w:name="_Toc292559911"/>
      <w:bookmarkStart w:id="1723" w:name="_Toc303539157"/>
      <w:bookmarkStart w:id="1724" w:name="_Toc292559406"/>
      <w:bookmarkStart w:id="1725" w:name="_Toc304295577"/>
      <w:bookmarkStart w:id="1726" w:name="_Toc296346702"/>
      <w:bookmarkStart w:id="1727" w:name="_Toc300935000"/>
      <w:bookmarkStart w:id="1728" w:name="_Toc296503201"/>
      <w:bookmarkStart w:id="1729" w:name="_Toc296944540"/>
      <w:bookmarkStart w:id="1730" w:name="_Toc297123550"/>
      <w:bookmarkStart w:id="1731" w:name="_Toc296891029"/>
      <w:r>
        <w:rPr>
          <w:rFonts w:hint="eastAsia"/>
          <w:color w:val="auto"/>
          <w:sz w:val="21"/>
          <w:szCs w:val="21"/>
          <w:highlight w:val="none"/>
        </w:rPr>
        <w:t>11.1 市场价格波动引起的调整</w:t>
      </w:r>
      <w:bookmarkEnd w:id="1714"/>
      <w:bookmarkEnd w:id="1715"/>
    </w:p>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Pr>
        <w:spacing w:line="360" w:lineRule="auto"/>
        <w:ind w:firstLine="420" w:firstLineChars="200"/>
        <w:jc w:val="left"/>
        <w:rPr>
          <w:rFonts w:ascii="宋体" w:hAnsi="宋体"/>
          <w:color w:val="auto"/>
          <w:szCs w:val="21"/>
          <w:highlight w:val="none"/>
        </w:rPr>
      </w:pPr>
      <w:bookmarkStart w:id="1732" w:name="_Toc467689641"/>
      <w:bookmarkStart w:id="1733" w:name="_Toc466911545"/>
      <w:bookmarkStart w:id="1734" w:name="_Toc466913513"/>
      <w:bookmarkStart w:id="1735" w:name="_Toc466913963"/>
      <w:r>
        <w:rPr>
          <w:rFonts w:hint="eastAsia" w:ascii="宋体" w:hAnsi="宋体"/>
          <w:color w:val="auto"/>
          <w:szCs w:val="21"/>
          <w:highlight w:val="none"/>
        </w:rPr>
        <w:t>市场价格波动是否调整合同价格的约定：</w:t>
      </w:r>
      <w:r>
        <w:rPr>
          <w:rFonts w:hint="eastAsia" w:ascii="宋体" w:hAnsi="宋体"/>
          <w:color w:val="auto"/>
          <w:szCs w:val="21"/>
          <w:highlight w:val="none"/>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因市场价格波动调整合同价格，采用以下</w:t>
      </w:r>
      <w:r>
        <w:rPr>
          <w:rFonts w:hint="eastAsia" w:ascii="宋体" w:hAnsi="宋体"/>
          <w:color w:val="auto"/>
          <w:szCs w:val="21"/>
          <w:highlight w:val="none"/>
          <w:u w:val="single"/>
        </w:rPr>
        <w:t>第2种</w:t>
      </w:r>
      <w:r>
        <w:rPr>
          <w:rFonts w:hint="eastAsia" w:ascii="宋体" w:hAnsi="宋体"/>
          <w:color w:val="auto"/>
          <w:szCs w:val="21"/>
          <w:highlight w:val="none"/>
        </w:rPr>
        <w:t>方式对合同价格进行调整：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第1种方式：采用价格指数进行价格调整。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关于各可调因子、定值和变值权重，以及基本价格指数及其来源的约定：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第2种方式：采用造价信息进行价格调整，调整方法如下：</w:t>
      </w:r>
    </w:p>
    <w:p>
      <w:pPr>
        <w:spacing w:line="360" w:lineRule="auto"/>
        <w:ind w:firstLine="420" w:firstLineChars="200"/>
        <w:jc w:val="left"/>
        <w:rPr>
          <w:rFonts w:ascii="宋体" w:hAnsi="宋体"/>
          <w:color w:val="auto"/>
          <w:szCs w:val="21"/>
          <w:highlight w:val="none"/>
        </w:rPr>
      </w:pPr>
      <w:bookmarkStart w:id="1736" w:name="_Hlk524296901"/>
      <w:r>
        <w:rPr>
          <w:rFonts w:hint="eastAsia" w:ascii="宋体" w:hAnsi="宋体"/>
          <w:color w:val="auto"/>
          <w:szCs w:val="21"/>
          <w:highlight w:val="none"/>
        </w:rPr>
        <w:t>11.1.1人工费价差调整办法</w:t>
      </w:r>
      <w:bookmarkEnd w:id="1732"/>
      <w:bookmarkEnd w:id="1733"/>
      <w:bookmarkEnd w:id="1734"/>
      <w:bookmarkEnd w:id="1735"/>
    </w:p>
    <w:p>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1737" w:name="_Toc466911548"/>
      <w:bookmarkStart w:id="1738" w:name="_Toc466913966"/>
      <w:bookmarkStart w:id="1739" w:name="_Toc466913516"/>
      <w:bookmarkStart w:id="1740" w:name="_Toc467689644"/>
      <w:r>
        <w:rPr>
          <w:rFonts w:hint="eastAsia" w:ascii="宋体" w:hAnsi="宋体"/>
          <w:color w:val="auto"/>
          <w:szCs w:val="21"/>
          <w:highlight w:val="none"/>
        </w:rPr>
        <w:t>（1）自实际开工时间起至合同约定的工期结束时间止，期间《重庆工程造价信息》发布人工单价的算术平均值较开标当期《重庆工程造价信息》发布的人工单价变化超过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736"/>
    <w:p>
      <w:pPr>
        <w:spacing w:line="360" w:lineRule="auto"/>
        <w:ind w:firstLine="420" w:firstLineChars="200"/>
        <w:jc w:val="left"/>
        <w:rPr>
          <w:rFonts w:ascii="宋体" w:hAnsi="宋体"/>
          <w:color w:val="auto"/>
          <w:szCs w:val="21"/>
          <w:highlight w:val="none"/>
        </w:rPr>
      </w:pPr>
      <w:bookmarkStart w:id="1741" w:name="_Hlk524297138"/>
      <w:r>
        <w:rPr>
          <w:rFonts w:hint="eastAsia" w:ascii="宋体" w:hAnsi="宋体"/>
          <w:color w:val="auto"/>
          <w:szCs w:val="21"/>
          <w:highlight w:val="none"/>
        </w:rPr>
        <w:t>11.1.2 材料费价差调整</w:t>
      </w:r>
      <w:bookmarkEnd w:id="1737"/>
      <w:bookmarkEnd w:id="1738"/>
      <w:bookmarkEnd w:id="1739"/>
      <w:bookmarkEnd w:id="1740"/>
      <w:r>
        <w:rPr>
          <w:rFonts w:hint="eastAsia" w:ascii="宋体" w:hAnsi="宋体"/>
          <w:color w:val="auto"/>
          <w:szCs w:val="21"/>
          <w:highlight w:val="none"/>
        </w:rPr>
        <w:t>办法</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w:t>
      </w:r>
      <w:r>
        <w:rPr>
          <w:rFonts w:hint="eastAsia" w:ascii="宋体" w:hAnsi="宋体"/>
          <w:color w:val="auto"/>
          <w:szCs w:val="21"/>
          <w:highlight w:val="none"/>
          <w:u w:val="single"/>
        </w:rPr>
        <w:t>水泥、商品砼、碎石、砂、钢筋、型钢、条石、片石、预应力钢绞线、沥青混凝土、水泥稳定碎石拌和料、预拌商品砂浆、砌筑材料等主要材料（可按工程使用的具体材料确定）</w:t>
      </w:r>
      <w:r>
        <w:rPr>
          <w:rFonts w:hint="eastAsia" w:ascii="宋体" w:hAnsi="宋体"/>
          <w:color w:val="auto"/>
          <w:szCs w:val="21"/>
          <w:highlight w:val="none"/>
        </w:rPr>
        <w:t>。</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可调价差材料的价差调整办法如下：</w:t>
      </w:r>
    </w:p>
    <w:bookmarkEnd w:id="1594"/>
    <w:bookmarkEnd w:id="1595"/>
    <w:bookmarkEnd w:id="1596"/>
    <w:bookmarkEnd w:id="1597"/>
    <w:bookmarkEnd w:id="1598"/>
    <w:bookmarkEnd w:id="1599"/>
    <w:p>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1742" w:name="_Toc296944544"/>
      <w:bookmarkStart w:id="1743" w:name="_Toc296503205"/>
      <w:bookmarkStart w:id="1744" w:name="_Toc296891033"/>
      <w:bookmarkStart w:id="1745" w:name="_Toc292559915"/>
      <w:bookmarkStart w:id="1746" w:name="_Toc296347204"/>
      <w:bookmarkStart w:id="1747" w:name="_Toc292559410"/>
      <w:bookmarkStart w:id="1748" w:name="_Toc297120505"/>
      <w:bookmarkStart w:id="1749" w:name="_Toc296891245"/>
      <w:bookmarkStart w:id="1750" w:name="_Toc296346706"/>
      <w:bookmarkStart w:id="1751" w:name="_Toc297048391"/>
      <w:bookmarkStart w:id="1752" w:name="_Toc351203644"/>
      <w:bookmarkStart w:id="1753" w:name="_Toc297216211"/>
      <w:bookmarkStart w:id="1754" w:name="_Toc297123552"/>
      <w:bookmarkStart w:id="1755" w:name="_Toc303539159"/>
      <w:bookmarkStart w:id="1756" w:name="_Toc312678040"/>
      <w:bookmarkStart w:id="1757" w:name="_Toc304295579"/>
      <w:bookmarkStart w:id="1758" w:name="_Toc300935002"/>
      <w:r>
        <w:rPr>
          <w:rFonts w:hint="eastAsia" w:ascii="宋体" w:hAnsi="宋体"/>
          <w:color w:val="auto"/>
          <w:szCs w:val="21"/>
          <w:highlight w:val="none"/>
        </w:rPr>
        <w:t>（1）自实际开工时间起至合同约定的工期结束时间止，期间《重庆工程造价信息》发布的信息价的算术平均值较开标当期《重庆工程造价信息》发布的信息价变化超过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741"/>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第3种方式：其他价格调整方式：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759" w:name="_Toc532377380"/>
      <w:bookmarkStart w:id="1760" w:name="_Toc532375644"/>
      <w:bookmarkStart w:id="1761" w:name="_Hlk528928232"/>
      <w:r>
        <w:rPr>
          <w:rFonts w:hint="eastAsia"/>
          <w:color w:val="auto"/>
          <w:sz w:val="21"/>
          <w:szCs w:val="21"/>
          <w:highlight w:val="none"/>
        </w:rPr>
        <w:t>11.2 法律变化引起的调整</w:t>
      </w:r>
      <w:bookmarkEnd w:id="1759"/>
      <w:bookmarkEnd w:id="176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本条补充11.3款</w:t>
      </w:r>
    </w:p>
    <w:bookmarkEnd w:id="1761"/>
    <w:p>
      <w:pPr>
        <w:pStyle w:val="7"/>
        <w:spacing w:before="0" w:beforeAutospacing="0" w:after="0" w:afterAutospacing="0" w:line="360" w:lineRule="auto"/>
        <w:ind w:firstLine="422" w:firstLineChars="200"/>
        <w:rPr>
          <w:color w:val="auto"/>
          <w:sz w:val="21"/>
          <w:szCs w:val="21"/>
          <w:highlight w:val="none"/>
        </w:rPr>
      </w:pPr>
      <w:bookmarkStart w:id="1762" w:name="_Toc532375645"/>
      <w:bookmarkStart w:id="1763" w:name="_Toc532377381"/>
      <w:r>
        <w:rPr>
          <w:rFonts w:hint="eastAsia"/>
          <w:color w:val="auto"/>
          <w:sz w:val="21"/>
          <w:szCs w:val="21"/>
          <w:highlight w:val="none"/>
        </w:rPr>
        <w:t>11.3 严重不平衡报价引起的调整</w:t>
      </w:r>
      <w:bookmarkEnd w:id="1762"/>
      <w:bookmarkEnd w:id="1763"/>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764" w:name="_Toc532375646"/>
      <w:bookmarkStart w:id="1765" w:name="_Toc532377382"/>
      <w:r>
        <w:rPr>
          <w:rFonts w:hint="eastAsia"/>
          <w:color w:val="auto"/>
          <w:kern w:val="2"/>
          <w:sz w:val="21"/>
          <w:szCs w:val="21"/>
          <w:highlight w:val="none"/>
        </w:rPr>
        <w:t xml:space="preserve">12. </w:t>
      </w:r>
      <w:bookmarkEnd w:id="1742"/>
      <w:bookmarkEnd w:id="1743"/>
      <w:bookmarkEnd w:id="1744"/>
      <w:bookmarkEnd w:id="1745"/>
      <w:bookmarkEnd w:id="1746"/>
      <w:bookmarkEnd w:id="1747"/>
      <w:bookmarkEnd w:id="1748"/>
      <w:bookmarkEnd w:id="1749"/>
      <w:bookmarkEnd w:id="1750"/>
      <w:bookmarkEnd w:id="1751"/>
      <w:r>
        <w:rPr>
          <w:rFonts w:hint="eastAsia"/>
          <w:color w:val="auto"/>
          <w:kern w:val="2"/>
          <w:sz w:val="21"/>
          <w:szCs w:val="21"/>
          <w:highlight w:val="none"/>
        </w:rPr>
        <w:t>合同价格、计量与支付</w:t>
      </w:r>
      <w:bookmarkEnd w:id="1752"/>
      <w:bookmarkEnd w:id="1764"/>
      <w:bookmarkEnd w:id="1765"/>
    </w:p>
    <w:bookmarkEnd w:id="1753"/>
    <w:bookmarkEnd w:id="1754"/>
    <w:bookmarkEnd w:id="1755"/>
    <w:bookmarkEnd w:id="1756"/>
    <w:bookmarkEnd w:id="1757"/>
    <w:bookmarkEnd w:id="1758"/>
    <w:p>
      <w:pPr>
        <w:pStyle w:val="7"/>
        <w:spacing w:before="0" w:beforeAutospacing="0" w:after="0" w:afterAutospacing="0" w:line="360" w:lineRule="auto"/>
        <w:ind w:firstLine="422" w:firstLineChars="200"/>
        <w:rPr>
          <w:color w:val="auto"/>
          <w:sz w:val="21"/>
          <w:szCs w:val="21"/>
          <w:highlight w:val="none"/>
        </w:rPr>
      </w:pPr>
      <w:bookmarkStart w:id="1766" w:name="_Toc292559411"/>
      <w:bookmarkStart w:id="1767" w:name="_Toc292559916"/>
      <w:bookmarkStart w:id="1768" w:name="_Toc267251461"/>
      <w:bookmarkStart w:id="1769" w:name="_Toc296944545"/>
      <w:bookmarkStart w:id="1770" w:name="_Toc296891246"/>
      <w:bookmarkStart w:id="1771" w:name="_Toc297048392"/>
      <w:bookmarkStart w:id="1772" w:name="_Toc297120506"/>
      <w:bookmarkStart w:id="1773" w:name="_Toc296346707"/>
      <w:bookmarkStart w:id="1774" w:name="_Toc296347205"/>
      <w:bookmarkStart w:id="1775" w:name="_Toc296503206"/>
      <w:bookmarkStart w:id="1776" w:name="_Toc296891034"/>
      <w:bookmarkStart w:id="1777" w:name="_Toc532377383"/>
      <w:bookmarkStart w:id="1778" w:name="_Toc532375647"/>
      <w:bookmarkStart w:id="1779" w:name="_Toc304295580"/>
      <w:bookmarkStart w:id="1780" w:name="_Toc303539160"/>
      <w:bookmarkStart w:id="1781" w:name="_Toc297123553"/>
      <w:bookmarkStart w:id="1782" w:name="_Toc300935003"/>
      <w:bookmarkStart w:id="1783" w:name="_Toc312678041"/>
      <w:bookmarkStart w:id="1784" w:name="_Toc297216212"/>
      <w:r>
        <w:rPr>
          <w:rFonts w:hint="eastAsia"/>
          <w:color w:val="auto"/>
          <w:sz w:val="21"/>
          <w:szCs w:val="21"/>
          <w:highlight w:val="none"/>
        </w:rPr>
        <w:t>12.1 合</w:t>
      </w:r>
      <w:bookmarkEnd w:id="1766"/>
      <w:bookmarkEnd w:id="1767"/>
      <w:bookmarkEnd w:id="1768"/>
      <w:r>
        <w:rPr>
          <w:rFonts w:hint="eastAsia"/>
          <w:color w:val="auto"/>
          <w:sz w:val="21"/>
          <w:szCs w:val="21"/>
          <w:highlight w:val="none"/>
        </w:rPr>
        <w:t>同价</w:t>
      </w:r>
      <w:bookmarkEnd w:id="1769"/>
      <w:bookmarkEnd w:id="1770"/>
      <w:bookmarkEnd w:id="1771"/>
      <w:bookmarkEnd w:id="1772"/>
      <w:bookmarkEnd w:id="1773"/>
      <w:bookmarkEnd w:id="1774"/>
      <w:bookmarkEnd w:id="1775"/>
      <w:bookmarkEnd w:id="1776"/>
      <w:r>
        <w:rPr>
          <w:rFonts w:hint="eastAsia"/>
          <w:color w:val="auto"/>
          <w:sz w:val="21"/>
          <w:szCs w:val="21"/>
          <w:highlight w:val="none"/>
        </w:rPr>
        <w:t>格形式</w:t>
      </w:r>
      <w:bookmarkEnd w:id="1777"/>
      <w:bookmarkEnd w:id="1778"/>
    </w:p>
    <w:bookmarkEnd w:id="1779"/>
    <w:bookmarkEnd w:id="1780"/>
    <w:bookmarkEnd w:id="1781"/>
    <w:bookmarkEnd w:id="1782"/>
    <w:bookmarkEnd w:id="1783"/>
    <w:bookmarkEnd w:id="1784"/>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综合单价包含的风险范围：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1785" w:name="_Hlk528508096"/>
      <w:r>
        <w:rPr>
          <w:rFonts w:hint="eastAsia" w:ascii="宋体" w:hAnsi="宋体"/>
          <w:color w:val="auto"/>
          <w:szCs w:val="21"/>
          <w:highlight w:val="none"/>
          <w:u w:val="single"/>
        </w:rPr>
        <w:t>第11.1款〔市场价格波动引起的调整〕约定范围内的市场价格波动风险、政策性文件规定的各项应有费用、</w:t>
      </w:r>
      <w:bookmarkEnd w:id="1785"/>
      <w:r>
        <w:rPr>
          <w:rFonts w:hint="eastAsia" w:ascii="宋体" w:hAnsi="宋体"/>
          <w:color w:val="auto"/>
          <w:szCs w:val="21"/>
          <w:highlight w:val="none"/>
          <w:u w:val="single"/>
        </w:rPr>
        <w:t>竞争性比选文件和合同明示或暗示的应由承包人承担的所有责任、义务和风险等所需的费用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总价包含的风险范围：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竞争性比选文件和合同明示或暗示的应由承包人承担的所有责任、义务和风险等所需的费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ascii="宋体" w:hAnsi="宋体"/>
          <w:color w:val="auto"/>
          <w:szCs w:val="21"/>
          <w:highlight w:val="none"/>
          <w:u w:val="single"/>
        </w:rPr>
        <w:t>不采用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786" w:name="_Toc532377384"/>
      <w:bookmarkStart w:id="1787" w:name="_Toc532375648"/>
      <w:bookmarkStart w:id="1788" w:name="_Toc300935004"/>
      <w:bookmarkStart w:id="1789" w:name="_Toc297123554"/>
      <w:bookmarkStart w:id="1790" w:name="_Toc297216213"/>
      <w:bookmarkStart w:id="1791" w:name="_Toc303539161"/>
      <w:bookmarkStart w:id="1792" w:name="_Toc304295581"/>
      <w:bookmarkStart w:id="1793" w:name="_Toc312678042"/>
      <w:bookmarkStart w:id="1794" w:name="_Toc296944546"/>
      <w:bookmarkStart w:id="1795" w:name="_Toc296346708"/>
      <w:bookmarkStart w:id="1796" w:name="_Toc296891247"/>
      <w:bookmarkStart w:id="1797" w:name="_Toc292559412"/>
      <w:bookmarkStart w:id="1798" w:name="_Toc296347206"/>
      <w:bookmarkStart w:id="1799" w:name="_Toc296891035"/>
      <w:bookmarkStart w:id="1800" w:name="_Toc297120507"/>
      <w:bookmarkStart w:id="1801" w:name="_Toc297048393"/>
      <w:bookmarkStart w:id="1802" w:name="_Toc292559917"/>
      <w:bookmarkStart w:id="1803" w:name="_Toc296503207"/>
      <w:r>
        <w:rPr>
          <w:rFonts w:hint="eastAsia"/>
          <w:color w:val="auto"/>
          <w:sz w:val="21"/>
          <w:szCs w:val="21"/>
          <w:highlight w:val="none"/>
        </w:rPr>
        <w:t>12.2 预付款</w:t>
      </w:r>
      <w:bookmarkEnd w:id="1786"/>
      <w:bookmarkEnd w:id="1787"/>
    </w:p>
    <w:bookmarkEnd w:id="1788"/>
    <w:bookmarkEnd w:id="1789"/>
    <w:bookmarkEnd w:id="1790"/>
    <w:bookmarkEnd w:id="1791"/>
    <w:bookmarkEnd w:id="1792"/>
    <w:bookmarkEnd w:id="1793"/>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预付款扣回的方式：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12.2.2 预付款担保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rPr>
        <w:t>合同签订后7天内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794"/>
    <w:bookmarkEnd w:id="1795"/>
    <w:bookmarkEnd w:id="1796"/>
    <w:bookmarkEnd w:id="1797"/>
    <w:bookmarkEnd w:id="1798"/>
    <w:bookmarkEnd w:id="1799"/>
    <w:bookmarkEnd w:id="1800"/>
    <w:bookmarkEnd w:id="1801"/>
    <w:bookmarkEnd w:id="1802"/>
    <w:bookmarkEnd w:id="1803"/>
    <w:p>
      <w:pPr>
        <w:pStyle w:val="7"/>
        <w:spacing w:before="0" w:beforeAutospacing="0" w:after="0" w:afterAutospacing="0" w:line="360" w:lineRule="auto"/>
        <w:ind w:firstLine="422" w:firstLineChars="200"/>
        <w:rPr>
          <w:color w:val="auto"/>
          <w:sz w:val="21"/>
          <w:szCs w:val="21"/>
          <w:highlight w:val="none"/>
        </w:rPr>
      </w:pPr>
      <w:bookmarkStart w:id="1804" w:name="_Toc532377385"/>
      <w:bookmarkStart w:id="1805" w:name="_Toc532375649"/>
      <w:r>
        <w:rPr>
          <w:rFonts w:hint="eastAsia"/>
          <w:color w:val="auto"/>
          <w:sz w:val="21"/>
          <w:szCs w:val="21"/>
          <w:highlight w:val="none"/>
        </w:rPr>
        <w:t>12.3 计量</w:t>
      </w:r>
      <w:bookmarkEnd w:id="1804"/>
      <w:bookmarkEnd w:id="1805"/>
    </w:p>
    <w:p>
      <w:pPr>
        <w:spacing w:line="360" w:lineRule="auto"/>
        <w:ind w:firstLine="420" w:firstLineChars="200"/>
        <w:jc w:val="left"/>
        <w:rPr>
          <w:rFonts w:ascii="宋体" w:hAnsi="宋体"/>
          <w:color w:val="auto"/>
          <w:szCs w:val="21"/>
          <w:highlight w:val="none"/>
        </w:rPr>
      </w:pPr>
      <w:bookmarkStart w:id="1806" w:name="_Hlk528928260"/>
      <w:r>
        <w:rPr>
          <w:rFonts w:hint="eastAsia" w:ascii="宋体" w:hAnsi="宋体"/>
          <w:color w:val="auto"/>
          <w:szCs w:val="21"/>
          <w:highlight w:val="none"/>
        </w:rPr>
        <w:t>12.3.1 计量原则</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80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rPr>
        <w:t>按月计量根据具体项目实际情况可以按月、按进度、按节点等形式计量，按进度、按节点计量的参考按月计量原则执行）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关于单价合同计量的约定：</w:t>
      </w:r>
    </w:p>
    <w:p>
      <w:pPr>
        <w:spacing w:line="360" w:lineRule="auto"/>
        <w:ind w:firstLine="420" w:firstLineChars="200"/>
        <w:jc w:val="left"/>
        <w:rPr>
          <w:rFonts w:ascii="宋体" w:hAnsi="宋体"/>
          <w:color w:val="auto"/>
          <w:szCs w:val="21"/>
          <w:highlight w:val="none"/>
          <w:u w:val="single"/>
        </w:rPr>
      </w:pPr>
      <w:bookmarkStart w:id="1807" w:name="_Hlk528926162"/>
      <w:r>
        <w:rPr>
          <w:rFonts w:hint="eastAsia" w:ascii="宋体" w:hAnsi="宋体"/>
          <w:color w:val="auto"/>
          <w:szCs w:val="21"/>
          <w:highlight w:val="none"/>
          <w:u w:val="single"/>
        </w:rPr>
        <w:t>（1）承包人应于当月  日前向监理人报送上月已完成的工程量，并附进度付款申请单、已完成工程量报表和其他有关资料</w:t>
      </w:r>
      <w:r>
        <w:rPr>
          <w:rFonts w:hint="eastAsia" w:ascii="宋体" w:hAnsi="宋体"/>
          <w:color w:val="auto"/>
          <w:szCs w:val="21"/>
          <w:highlight w:val="none"/>
        </w:rPr>
        <w:t>。</w:t>
      </w:r>
    </w:p>
    <w:bookmarkEnd w:id="1807"/>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12.3.5总价合同采用支付分解表计量支付的，是否适用第12.3.4项〔总价合同的计量〕约定进行计量：</w:t>
      </w:r>
      <w:r>
        <w:rPr>
          <w:rFonts w:hint="eastAsia" w:ascii="宋体" w:hAnsi="宋体"/>
          <w:color w:val="auto"/>
          <w:szCs w:val="21"/>
          <w:highlight w:val="none"/>
          <w:u w:val="single"/>
        </w:rPr>
        <w:t>适用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不采用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08" w:name="_Toc532377386"/>
      <w:bookmarkStart w:id="1809" w:name="_Toc532375650"/>
      <w:bookmarkStart w:id="1810" w:name="_Hlk528928289"/>
      <w:r>
        <w:rPr>
          <w:rFonts w:hint="eastAsia"/>
          <w:color w:val="auto"/>
          <w:sz w:val="21"/>
          <w:szCs w:val="21"/>
          <w:highlight w:val="none"/>
        </w:rPr>
        <w:t>12.4 工程进度款支付</w:t>
      </w:r>
      <w:bookmarkEnd w:id="1808"/>
      <w:bookmarkEnd w:id="1809"/>
    </w:p>
    <w:bookmarkEnd w:id="1810"/>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12.4.1 付款周期</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关于付款周期的约定：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12.4.2 进度付款申请单的编制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进度付款申请单应包括下列内容：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（1）截至本次付款周期已完成工作对应的金额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（2）根据第10条〔变更〕应增加和扣减的已审定变更金额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（3）根据第12.2款〔预付款〕约定应支付的预付款和扣减的返还预付款</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（4）根据第15.3款〔质量保证金〕约定应扣减的质量保证金</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（5）根据第19条〔索赔〕应增加和扣减的已审定索赔金额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（6）根据第11条〔价格调整〕应增加和扣减的价格调整金额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（7）对已签发的进度款支付证书中出现错误的修正，应在本次进度付款中支付或扣除的金额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（8）根据合同约定承包人应向发包人支付的违约金</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（9）根据合同约定发包人应向承包人支付的违约金和（或）奖励</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（10）根据合同约定应增加和扣减的其他金额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（11）当月应支付的人工费（工资款）金额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12.4.3 进度付款申请单的提交</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（1）单价合同进度付款申请单提交的约定：</w:t>
      </w:r>
      <w:r>
        <w:rPr>
          <w:rFonts w:hint="eastAsia" w:ascii="宋体" w:hAnsi="宋体"/>
          <w:color w:val="auto"/>
          <w:szCs w:val="21"/>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（2）总价合同进度付款申请单提交的约定：</w:t>
      </w:r>
      <w:r>
        <w:rPr>
          <w:rFonts w:hint="eastAsia" w:ascii="宋体" w:hAnsi="宋体"/>
          <w:color w:val="auto"/>
          <w:szCs w:val="21"/>
          <w:highlight w:val="none"/>
          <w:u w:val="single"/>
        </w:rPr>
        <w:t>按照合同约定的形象进度的计量约定的时间向监理人提交，并附上已完成工程量报表、经审核的农民工工资发放的情况说明及有关资料</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（3）其他价格形式合同进度付款申请单提交的约定：</w:t>
      </w:r>
      <w:r>
        <w:rPr>
          <w:rFonts w:hint="eastAsia" w:ascii="宋体" w:hAnsi="宋体"/>
          <w:color w:val="auto"/>
          <w:szCs w:val="21"/>
          <w:highlight w:val="none"/>
          <w:u w:val="single"/>
        </w:rPr>
        <w:t>不采用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12.4.4 进度款审核和支付</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（1）监理人审查并报送发包人的期限：</w:t>
      </w:r>
      <w:r>
        <w:rPr>
          <w:rFonts w:hint="eastAsia" w:ascii="宋体" w:hAnsi="宋体"/>
          <w:color w:val="auto"/>
          <w:szCs w:val="21"/>
          <w:highlight w:val="none"/>
          <w:u w:val="single"/>
        </w:rPr>
        <w:t>收到完整资料后7天内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发包人完成审批并签发进度款支付证书的期限：</w:t>
      </w:r>
      <w:r>
        <w:rPr>
          <w:rFonts w:hint="eastAsia" w:ascii="宋体" w:hAnsi="宋体"/>
          <w:color w:val="auto"/>
          <w:szCs w:val="21"/>
          <w:highlight w:val="none"/>
          <w:u w:val="single"/>
        </w:rPr>
        <w:t>发包人收到监理人报送资料后7天内完成审批并签发进度款支付证书</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发包人签发进度款支付证书或临时进度款支付证书，不表明发包人已同意、批准或接受了承包人完成的相应部分的工作。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（2）进度款支付：</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①发包人将上月农民工工资支付凭证作为当月进度款支付的前置条件。</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②安全文明施工费：</w:t>
      </w:r>
      <w:r>
        <w:rPr>
          <w:rFonts w:hint="eastAsia" w:ascii="宋体" w:hAnsi="宋体"/>
          <w:color w:val="auto"/>
          <w:szCs w:val="21"/>
          <w:highlight w:val="none"/>
          <w:u w:val="single"/>
        </w:rPr>
        <w:t>合同签订后，发包人在开工前按签约合同价中安全文明施工费的50％支付承包人，用于现场安全文明施工建设，余下安全文明施工费按施工进度支付</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③分部分项工程费：</w:t>
      </w:r>
      <w:r>
        <w:rPr>
          <w:rFonts w:hint="eastAsia" w:ascii="宋体" w:hAnsi="宋体"/>
          <w:color w:val="auto"/>
          <w:szCs w:val="21"/>
          <w:highlight w:val="none"/>
          <w:u w:val="single"/>
        </w:rPr>
        <w:t>按承包人当期完成并经监理人、跟审单位和发包人审定的工程量乘以相应综合单价计算当期完成的分部分项工程费及相应的规费和税金。发包人在签发进度款支付证书或临时进度款支付证书的次月10日前按经监理人、跟审单位和发包人审定的当期完成的分部分项工程费及相应的规费和税金（不含人工费价差和材料费价差）的  %</w:t>
      </w:r>
      <w:r>
        <w:rPr>
          <w:rFonts w:hint="eastAsia" w:ascii="宋体" w:hAnsi="宋体"/>
          <w:color w:val="auto"/>
          <w:szCs w:val="21"/>
          <w:highlight w:val="none"/>
        </w:rPr>
        <w:t>（60%~90%）</w:t>
      </w:r>
      <w:r>
        <w:rPr>
          <w:rFonts w:hint="eastAsia" w:ascii="宋体" w:hAnsi="宋体"/>
          <w:color w:val="auto"/>
          <w:szCs w:val="21"/>
          <w:highlight w:val="none"/>
          <w:u w:val="single"/>
        </w:rPr>
        <w:t>支付承包人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④措施项目费：</w:t>
      </w:r>
      <w:r>
        <w:rPr>
          <w:rFonts w:hint="eastAsia" w:ascii="宋体" w:hAnsi="宋体"/>
          <w:color w:val="auto"/>
          <w:szCs w:val="21"/>
          <w:highlight w:val="none"/>
          <w:u w:val="single"/>
        </w:rPr>
        <w:t>按承包人当期完成并经监理人、跟审单位和发包人审定的分部分项工程量，乘以相应综合单价计算所得合计金额占签约合同价格中分部分项工程费合计金额的比例，并以签约合同价格中措施项目费为基数计算当期完成的措施项目费及相应的规费和税金。发包人在签发进度款支付证书或临时进度款支付证书的次月10日前按经监理人、跟审单位和发包人审定的当期完成的措施项目费及相应的规费和税金（不含人工费价差和材料费价差）的  %</w:t>
      </w:r>
      <w:r>
        <w:rPr>
          <w:rFonts w:hint="eastAsia" w:ascii="宋体" w:hAnsi="宋体"/>
          <w:color w:val="auto"/>
          <w:szCs w:val="21"/>
          <w:highlight w:val="none"/>
        </w:rPr>
        <w:t>（60%~90%）</w:t>
      </w:r>
      <w:r>
        <w:rPr>
          <w:rFonts w:hint="eastAsia" w:ascii="宋体" w:hAnsi="宋体"/>
          <w:color w:val="auto"/>
          <w:szCs w:val="21"/>
          <w:highlight w:val="none"/>
          <w:u w:val="single"/>
        </w:rPr>
        <w:t>支付承包人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5 \* GB3 </w:instrText>
      </w:r>
      <w:r>
        <w:rPr>
          <w:rFonts w:hint="eastAsia" w:ascii="宋体" w:hAnsi="宋体"/>
          <w:color w:val="auto"/>
          <w:szCs w:val="21"/>
          <w:highlight w:val="none"/>
        </w:rPr>
        <w:fldChar w:fldCharType="separate"/>
      </w:r>
      <w:r>
        <w:rPr>
          <w:rFonts w:hint="eastAsia" w:ascii="宋体" w:hAnsi="宋体"/>
          <w:color w:val="auto"/>
          <w:szCs w:val="21"/>
          <w:highlight w:val="none"/>
        </w:rPr>
        <w:t>⑤</w:t>
      </w:r>
      <w:r>
        <w:rPr>
          <w:rFonts w:hint="eastAsia" w:ascii="宋体" w:hAnsi="宋体"/>
          <w:color w:val="auto"/>
          <w:szCs w:val="21"/>
          <w:highlight w:val="none"/>
        </w:rPr>
        <w:fldChar w:fldCharType="end"/>
      </w:r>
      <w:r>
        <w:rPr>
          <w:rFonts w:hint="eastAsia" w:ascii="宋体" w:hAnsi="宋体"/>
          <w:color w:val="auto"/>
          <w:szCs w:val="21"/>
          <w:highlight w:val="none"/>
        </w:rPr>
        <w:t>其他项目费：</w:t>
      </w:r>
      <w:r>
        <w:rPr>
          <w:rFonts w:hint="eastAsia" w:ascii="宋体" w:hAnsi="宋体"/>
          <w:color w:val="auto"/>
          <w:szCs w:val="21"/>
          <w:highlight w:val="none"/>
          <w:u w:val="single"/>
        </w:rPr>
        <w:t>按承包人当期完成并经监理人、跟审单位和发包人审定的工程量乘以相应综合单价计算当期完成的其他项目费及相应的规费和税金。发包人在签发进度款支付证书或临时进度款支付证书的次月10日前按经监理人、跟审单位和发包人审定的当期完成的其他项目费及相应的规费和税金的  %</w:t>
      </w:r>
      <w:r>
        <w:rPr>
          <w:rFonts w:hint="eastAsia" w:ascii="宋体" w:hAnsi="宋体"/>
          <w:color w:val="auto"/>
          <w:szCs w:val="21"/>
          <w:highlight w:val="none"/>
        </w:rPr>
        <w:t>（60%~90%）</w:t>
      </w:r>
      <w:r>
        <w:rPr>
          <w:rFonts w:hint="eastAsia" w:ascii="宋体" w:hAnsi="宋体"/>
          <w:color w:val="auto"/>
          <w:szCs w:val="21"/>
          <w:highlight w:val="none"/>
          <w:u w:val="single"/>
        </w:rPr>
        <w:t>支付承包人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⑥人工费（工资款）：发包人在签发人工费（工资款）支付证书的次月10日前，按经监理人和发包人审定的当月完成的合同价款的   %（人工费数额大于当月完成的合同价款的25%时，按实际人工费数额拨付；若人工费数额小于当月完成的合同价款的25%时，按不小于当月完成的合同价款的25%拨付），支付至承包人。</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⑦人工、材料价差按  %</w:t>
      </w:r>
      <w:r>
        <w:rPr>
          <w:rFonts w:hint="eastAsia" w:ascii="宋体" w:hAnsi="宋体"/>
          <w:color w:val="auto"/>
          <w:szCs w:val="21"/>
          <w:highlight w:val="none"/>
        </w:rPr>
        <w:t>（不低于80%）</w:t>
      </w:r>
      <w:r>
        <w:rPr>
          <w:rFonts w:hint="eastAsia" w:ascii="宋体" w:hAnsi="宋体"/>
          <w:color w:val="auto"/>
          <w:szCs w:val="21"/>
          <w:highlight w:val="none"/>
          <w:u w:val="single"/>
        </w:rPr>
        <w:t>纳入当期进度支付，价差调整方式按11条约定执行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⑧工程竣工验收合格后28天内，发包人向承包人支付至累计进度审定金额的  %</w:t>
      </w:r>
      <w:r>
        <w:rPr>
          <w:rFonts w:hint="eastAsia" w:ascii="宋体" w:hAnsi="宋体"/>
          <w:color w:val="auto"/>
          <w:szCs w:val="21"/>
          <w:highlight w:val="none"/>
        </w:rPr>
        <w:t>（不低于80%）</w:t>
      </w:r>
      <w:r>
        <w:rPr>
          <w:rFonts w:hint="eastAsia" w:ascii="宋体" w:hAnsi="宋体"/>
          <w:color w:val="auto"/>
          <w:szCs w:val="21"/>
          <w:highlight w:val="none"/>
          <w:u w:val="single"/>
        </w:rPr>
        <w:t>；移交完整的工程竣工资料后14天内，发包人向承包人支付至累计进度审定金额的  %</w:t>
      </w:r>
      <w:r>
        <w:rPr>
          <w:rFonts w:hint="eastAsia" w:ascii="宋体" w:hAnsi="宋体"/>
          <w:color w:val="auto"/>
          <w:szCs w:val="21"/>
          <w:highlight w:val="none"/>
        </w:rPr>
        <w:t>（不低于85%）</w:t>
      </w:r>
      <w:r>
        <w:rPr>
          <w:rFonts w:hint="eastAsia" w:ascii="宋体" w:hAnsi="宋体"/>
          <w:color w:val="auto"/>
          <w:szCs w:val="21"/>
          <w:highlight w:val="none"/>
          <w:u w:val="single"/>
        </w:rPr>
        <w:t>；完成结算审核后28天内，发包人向承包人支付至结算审定金额的</w:t>
      </w:r>
      <w:r>
        <w:rPr>
          <w:rFonts w:hint="eastAsia" w:ascii="宋体" w:hAnsi="宋体"/>
          <w:color w:val="auto"/>
          <w:szCs w:val="21"/>
          <w:highlight w:val="none"/>
        </w:rPr>
        <w:t>97%；</w:t>
      </w:r>
      <w:r>
        <w:rPr>
          <w:rFonts w:hint="eastAsia" w:ascii="宋体" w:hAnsi="宋体"/>
          <w:color w:val="auto"/>
          <w:szCs w:val="21"/>
          <w:highlight w:val="none"/>
          <w:u w:val="single"/>
        </w:rPr>
        <w:t>缺陷责任期满后28天内发包人向承包人支付剩余工程款</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11" w:name="_Toc351203585"/>
      <w:bookmarkStart w:id="1812" w:name="_Toc532377387"/>
      <w:r>
        <w:rPr>
          <w:rFonts w:hint="eastAsia"/>
          <w:color w:val="auto"/>
          <w:sz w:val="21"/>
          <w:szCs w:val="21"/>
          <w:highlight w:val="none"/>
        </w:rPr>
        <w:t>12.5支付账户</w:t>
      </w:r>
      <w:bookmarkEnd w:id="1811"/>
      <w:bookmarkEnd w:id="181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发包人应将合同价款支付至如下承包人指定的开户银行及银行账户：</w:t>
      </w:r>
    </w:p>
    <w:p>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收款单位名称：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收款账号：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收款开户银行：</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发包人应按行业主管部门的相关规定将人工费（工资款）支付至承包人指定的农民工工资专用账户。</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13" w:name="_Toc532375651"/>
      <w:bookmarkStart w:id="1814" w:name="_Toc351203645"/>
      <w:bookmarkStart w:id="1815" w:name="_Toc532377388"/>
      <w:bookmarkStart w:id="1816" w:name="_Toc296944558"/>
      <w:bookmarkStart w:id="1817" w:name="_Toc296891259"/>
      <w:bookmarkStart w:id="1818" w:name="_Toc296347218"/>
      <w:bookmarkStart w:id="1819" w:name="_Toc296891047"/>
      <w:bookmarkStart w:id="1820" w:name="_Toc304295593"/>
      <w:bookmarkStart w:id="1821" w:name="_Toc292559424"/>
      <w:bookmarkStart w:id="1822" w:name="_Toc303539172"/>
      <w:bookmarkStart w:id="1823" w:name="_Toc297216223"/>
      <w:bookmarkStart w:id="1824" w:name="_Toc292559929"/>
      <w:bookmarkStart w:id="1825" w:name="_Toc297048405"/>
      <w:bookmarkStart w:id="1826" w:name="_Toc300935015"/>
      <w:bookmarkStart w:id="1827" w:name="_Toc296503219"/>
      <w:bookmarkStart w:id="1828" w:name="_Toc312678053"/>
      <w:bookmarkStart w:id="1829" w:name="_Toc297120519"/>
      <w:bookmarkStart w:id="1830" w:name="_Toc296346720"/>
      <w:bookmarkStart w:id="1831" w:name="_Toc297123564"/>
      <w:r>
        <w:rPr>
          <w:rFonts w:hint="eastAsia"/>
          <w:color w:val="auto"/>
          <w:kern w:val="2"/>
          <w:sz w:val="21"/>
          <w:szCs w:val="21"/>
          <w:highlight w:val="none"/>
        </w:rPr>
        <w:t>13. 验收和工程试车</w:t>
      </w:r>
      <w:bookmarkEnd w:id="1813"/>
      <w:bookmarkEnd w:id="1814"/>
      <w:bookmarkEnd w:id="1815"/>
    </w:p>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Pr>
        <w:pStyle w:val="7"/>
        <w:spacing w:before="0" w:beforeAutospacing="0" w:after="0" w:afterAutospacing="0" w:line="360" w:lineRule="auto"/>
        <w:ind w:firstLine="422" w:firstLineChars="200"/>
        <w:rPr>
          <w:color w:val="auto"/>
          <w:sz w:val="21"/>
          <w:szCs w:val="21"/>
          <w:highlight w:val="none"/>
        </w:rPr>
      </w:pPr>
      <w:bookmarkStart w:id="1832" w:name="_Toc532377389"/>
      <w:bookmarkStart w:id="1833" w:name="_Toc532375652"/>
      <w:bookmarkStart w:id="1834" w:name="_Toc280868704"/>
      <w:bookmarkStart w:id="1835" w:name="_Toc280868705"/>
      <w:bookmarkStart w:id="1836" w:name="_Toc280868706"/>
      <w:bookmarkStart w:id="1837" w:name="_Toc280868707"/>
      <w:bookmarkStart w:id="1838" w:name="_Toc280868708"/>
      <w:bookmarkStart w:id="1839" w:name="_Toc280868709"/>
      <w:bookmarkStart w:id="1840" w:name="_Toc267251473"/>
      <w:bookmarkStart w:id="1841" w:name="_Toc267251474"/>
      <w:bookmarkStart w:id="1842" w:name="_Toc267251475"/>
      <w:bookmarkStart w:id="1843" w:name="_Toc267251476"/>
      <w:bookmarkStart w:id="1844" w:name="_Toc267251472"/>
      <w:bookmarkStart w:id="1845" w:name="_Toc267251471"/>
      <w:bookmarkStart w:id="1846" w:name="_Toc267251470"/>
      <w:r>
        <w:rPr>
          <w:rFonts w:hint="eastAsia"/>
          <w:color w:val="auto"/>
          <w:sz w:val="21"/>
          <w:szCs w:val="21"/>
          <w:highlight w:val="none"/>
        </w:rPr>
        <w:t>13.1 分部分项工程验收</w:t>
      </w:r>
      <w:bookmarkEnd w:id="1832"/>
      <w:bookmarkEnd w:id="183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pPr>
        <w:pStyle w:val="7"/>
        <w:spacing w:before="0" w:beforeAutospacing="0" w:after="0" w:afterAutospacing="0" w:line="360" w:lineRule="auto"/>
        <w:ind w:firstLine="422" w:firstLineChars="200"/>
        <w:rPr>
          <w:color w:val="auto"/>
          <w:sz w:val="21"/>
          <w:szCs w:val="21"/>
          <w:highlight w:val="none"/>
        </w:rPr>
      </w:pPr>
      <w:bookmarkStart w:id="1847" w:name="_Toc532375653"/>
      <w:bookmarkStart w:id="1848" w:name="_Toc532377390"/>
      <w:bookmarkStart w:id="1849" w:name="_Toc303539173"/>
      <w:bookmarkStart w:id="1850" w:name="_Toc296503223"/>
      <w:bookmarkStart w:id="1851" w:name="_Toc300935016"/>
      <w:bookmarkStart w:id="1852" w:name="_Toc292559933"/>
      <w:bookmarkStart w:id="1853" w:name="_Toc292559428"/>
      <w:bookmarkStart w:id="1854" w:name="_Toc312678056"/>
      <w:bookmarkStart w:id="1855" w:name="_Toc296347222"/>
      <w:bookmarkStart w:id="1856" w:name="_Toc304295596"/>
      <w:bookmarkStart w:id="1857" w:name="_Toc297120523"/>
      <w:bookmarkStart w:id="1858" w:name="_Toc297123565"/>
      <w:bookmarkStart w:id="1859" w:name="_Toc296891263"/>
      <w:bookmarkStart w:id="1860" w:name="_Toc296944562"/>
      <w:bookmarkStart w:id="1861" w:name="_Toc297048409"/>
      <w:bookmarkStart w:id="1862" w:name="_Toc296346724"/>
      <w:bookmarkStart w:id="1863" w:name="_Toc297216224"/>
      <w:bookmarkStart w:id="1864" w:name="_Toc296891051"/>
      <w:r>
        <w:rPr>
          <w:rFonts w:hint="eastAsia"/>
          <w:color w:val="auto"/>
          <w:sz w:val="21"/>
          <w:szCs w:val="21"/>
          <w:highlight w:val="none"/>
        </w:rPr>
        <w:t>13.2 竣工验收</w:t>
      </w:r>
      <w:bookmarkEnd w:id="1847"/>
      <w:bookmarkEnd w:id="1848"/>
    </w:p>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1834"/>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承包人提供纸质版竣工图三套，电子版竣工图二套（刻光盘）</w:t>
      </w:r>
      <w:r>
        <w:rPr>
          <w:rFonts w:hint="eastAsia" w:ascii="宋体" w:hAnsi="宋体"/>
          <w:color w:val="auto"/>
          <w:szCs w:val="21"/>
          <w:highlight w:val="none"/>
        </w:rPr>
        <w:t>。</w:t>
      </w:r>
    </w:p>
    <w:bookmarkEnd w:id="1835"/>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1836"/>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发包人未按合同约定接收全部或部分工程的，违约金的计算方法为：发包人自应当接收工程之日起承担工程照管、成品保护、保管等与工程有关的各项费用。</w:t>
      </w:r>
    </w:p>
    <w:bookmarkEnd w:id="1837"/>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承包人应承担工程照管、成品保护、保管等与工程有关的各项费用，并按经审定结算金额的0.5‰/天支付违约金</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65" w:name="_Toc532377391"/>
      <w:bookmarkStart w:id="1866" w:name="_Toc532375654"/>
      <w:r>
        <w:rPr>
          <w:rFonts w:hint="eastAsia"/>
          <w:color w:val="auto"/>
          <w:sz w:val="21"/>
          <w:szCs w:val="21"/>
          <w:highlight w:val="none"/>
        </w:rPr>
        <w:t>13.3 工程试车</w:t>
      </w:r>
      <w:bookmarkEnd w:id="1865"/>
      <w:bookmarkEnd w:id="1866"/>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pPr>
        <w:pStyle w:val="7"/>
        <w:spacing w:before="0" w:beforeAutospacing="0" w:after="0" w:afterAutospacing="0" w:line="360" w:lineRule="auto"/>
        <w:ind w:firstLine="422" w:firstLineChars="200"/>
        <w:rPr>
          <w:color w:val="auto"/>
          <w:sz w:val="21"/>
          <w:szCs w:val="21"/>
          <w:highlight w:val="none"/>
        </w:rPr>
      </w:pPr>
      <w:bookmarkStart w:id="1867" w:name="_Toc532375655"/>
      <w:bookmarkStart w:id="1868" w:name="_Toc532377392"/>
      <w:r>
        <w:rPr>
          <w:rFonts w:hint="eastAsia"/>
          <w:color w:val="auto"/>
          <w:sz w:val="21"/>
          <w:szCs w:val="21"/>
          <w:highlight w:val="none"/>
        </w:rPr>
        <w:t>13.6 竣工退场</w:t>
      </w:r>
      <w:bookmarkEnd w:id="1867"/>
      <w:bookmarkEnd w:id="186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highlight w:val="none"/>
        </w:rPr>
        <w:t>。</w:t>
      </w:r>
    </w:p>
    <w:bookmarkEnd w:id="1838"/>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69" w:name="_Toc532377393"/>
      <w:bookmarkStart w:id="1870" w:name="_Toc351203646"/>
      <w:bookmarkStart w:id="1871" w:name="_Toc532375656"/>
      <w:r>
        <w:rPr>
          <w:rFonts w:hint="eastAsia"/>
          <w:color w:val="auto"/>
          <w:kern w:val="2"/>
          <w:sz w:val="21"/>
          <w:szCs w:val="21"/>
          <w:highlight w:val="none"/>
        </w:rPr>
        <w:t>14. 竣工结算</w:t>
      </w:r>
      <w:bookmarkEnd w:id="1869"/>
      <w:bookmarkEnd w:id="1870"/>
      <w:bookmarkEnd w:id="1871"/>
    </w:p>
    <w:p>
      <w:pPr>
        <w:pStyle w:val="7"/>
        <w:spacing w:before="0" w:beforeAutospacing="0" w:after="0" w:afterAutospacing="0" w:line="360" w:lineRule="auto"/>
        <w:ind w:firstLine="422" w:firstLineChars="200"/>
        <w:rPr>
          <w:color w:val="auto"/>
          <w:sz w:val="21"/>
          <w:szCs w:val="21"/>
          <w:highlight w:val="none"/>
        </w:rPr>
      </w:pPr>
      <w:bookmarkStart w:id="1872" w:name="_Toc532377394"/>
      <w:bookmarkStart w:id="1873" w:name="_Toc532375657"/>
      <w:r>
        <w:rPr>
          <w:rFonts w:hint="eastAsia"/>
          <w:color w:val="auto"/>
          <w:sz w:val="21"/>
          <w:szCs w:val="21"/>
          <w:highlight w:val="none"/>
        </w:rPr>
        <w:t>14.1 竣工结算申请</w:t>
      </w:r>
      <w:bookmarkEnd w:id="1872"/>
      <w:bookmarkEnd w:id="1873"/>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承包人提交竣工结算申请单的期限：</w:t>
      </w:r>
      <w:r>
        <w:rPr>
          <w:rFonts w:hint="eastAsia" w:ascii="宋体" w:hAnsi="宋体"/>
          <w:color w:val="auto"/>
          <w:szCs w:val="21"/>
          <w:highlight w:val="none"/>
          <w:u w:val="single"/>
        </w:rPr>
        <w:t>承包人应在工程竣工验收合格且报送</w:t>
      </w:r>
      <w:r>
        <w:rPr>
          <w:rFonts w:ascii="宋体" w:hAnsi="宋体"/>
          <w:color w:val="auto"/>
          <w:szCs w:val="21"/>
          <w:highlight w:val="none"/>
          <w:u w:val="single"/>
        </w:rPr>
        <w:t>完整工程竣工资料</w:t>
      </w:r>
      <w:r>
        <w:rPr>
          <w:rFonts w:hint="eastAsia" w:ascii="宋体" w:hAnsi="宋体"/>
          <w:color w:val="auto"/>
          <w:szCs w:val="21"/>
          <w:highlight w:val="none"/>
          <w:u w:val="single"/>
        </w:rPr>
        <w:t>之日起28天内向监理人、发包人提交竣工结算申请单，并向发包人报送完整的工程竣工资料及经监理人初审确认的完整的竣工结算资料</w:t>
      </w:r>
      <w:bookmarkStart w:id="1874" w:name="_Hlk524297994"/>
      <w:r>
        <w:rPr>
          <w:rFonts w:hint="eastAsia" w:ascii="宋体" w:hAnsi="宋体"/>
          <w:color w:val="auto"/>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竣工结算申请单包括但不限于以下内容：</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（1）竣工结算合同价格；</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（2）变更增减金额；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（3）现场签证增减金额；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（4）索赔增减金额；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（5）奖励、罚金及违约金；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（6）发包人已支付承包人的款项；</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（7）应扣留的质量保证金；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（8）发包人应支付承包人的合同价款。</w:t>
      </w:r>
      <w:bookmarkEnd w:id="1874"/>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75" w:name="_Toc532375658"/>
      <w:bookmarkStart w:id="1876" w:name="_Toc532377395"/>
      <w:r>
        <w:rPr>
          <w:rFonts w:hint="eastAsia"/>
          <w:color w:val="auto"/>
          <w:sz w:val="21"/>
          <w:szCs w:val="21"/>
          <w:highlight w:val="none"/>
        </w:rPr>
        <w:t>14.2 竣工结算审核</w:t>
      </w:r>
      <w:bookmarkEnd w:id="1875"/>
      <w:bookmarkEnd w:id="1876"/>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14.2.1.2计价原则</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具体结算办法如下：</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（1）分部分项工程：</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④合同、已标价工程量清单和竞争性比选文件另有约定的，按照其约定执行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（2）措施项目：</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②工程变更引起施工方案改变使措施项目发生变化的，经监理人、发包人确定后可对按第10.4.3项约定执行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（3）其他项目：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①材料（工程设备）暂估价：</w:t>
      </w:r>
      <w:r>
        <w:rPr>
          <w:rFonts w:hint="eastAsia" w:ascii="宋体" w:hAnsi="宋体"/>
          <w:color w:val="auto"/>
          <w:szCs w:val="21"/>
          <w:highlight w:val="none"/>
          <w:u w:val="single"/>
        </w:rPr>
        <w:t>按照第12.3.1项〔计量原则〕约定及对应定额消耗量确定的数量乘以监理人、跟审单位、发包人根据市场行情认质核价确定的价格进行结算</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②专业工程暂估价：</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1）对于不属于依法必须比选的暂估价项目：按发包人审定的价格进行结算</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2）对于依法必须比选的暂估价项目：达到比选规模标准的暂估价内容，包括专业工程暂估价和材料设备暂估价均应比选确定，并按暂估价竞争性比选文件约定结算</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3）总承包服务费：总承包服务费包干使用，结算时不作调整</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（4）价格调整：</w:t>
      </w:r>
      <w:r>
        <w:rPr>
          <w:rFonts w:hint="eastAsia" w:ascii="宋体" w:hAnsi="宋体"/>
          <w:color w:val="auto"/>
          <w:szCs w:val="21"/>
          <w:highlight w:val="none"/>
          <w:u w:val="single"/>
        </w:rPr>
        <w:t>按照第11条〔价格调整〕约定约定执行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（5）工程变更、索赔与现场签证：</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2）索赔：按照第10.4.1项〔变更估价原则〕和第14.2.1项〔竣工结算办法〕约定执行。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3）现场签证：按照第10.4.1项〔变更估价原则〕和第14.2.1项〔竣工结算办法〕约定执行。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（6）奖励、罚金、违约金及其他费用：</w:t>
      </w:r>
      <w:r>
        <w:rPr>
          <w:rFonts w:hint="eastAsia" w:ascii="宋体" w:hAnsi="宋体"/>
          <w:color w:val="auto"/>
          <w:szCs w:val="21"/>
          <w:highlight w:val="none"/>
          <w:u w:val="single"/>
        </w:rPr>
        <w:t>按实进行结算</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（7）规费：已标价工程量清单中规费费用按《重庆市建设工程费用定额》（CQFYDE-2018）执行。</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14.2.1.3竣工结算价</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bookmarkStart w:id="1877" w:name="_Hlk528660512"/>
      <w:r>
        <w:rPr>
          <w:rFonts w:hint="eastAsia" w:ascii="宋体" w:hAnsi="宋体"/>
          <w:color w:val="auto"/>
          <w:szCs w:val="21"/>
          <w:highlight w:val="none"/>
          <w:u w:val="single"/>
        </w:rPr>
        <w:t>以发包人会同跟审单位、监理人、承包人根据有效资料共同确定竣工结算金额作为合同竣工结算价</w:t>
      </w:r>
      <w:r>
        <w:rPr>
          <w:rFonts w:hint="eastAsia" w:ascii="宋体" w:hAnsi="宋体"/>
          <w:color w:val="auto"/>
          <w:szCs w:val="21"/>
          <w:highlight w:val="none"/>
        </w:rPr>
        <w:t>。</w:t>
      </w:r>
    </w:p>
    <w:bookmarkEnd w:id="1877"/>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14.2.2 竣工结算审核期限</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监理人审核竣工付款申请单的期限：</w:t>
      </w:r>
      <w:r>
        <w:rPr>
          <w:rFonts w:hint="eastAsia" w:ascii="宋体" w:hAnsi="宋体"/>
          <w:color w:val="auto"/>
          <w:szCs w:val="21"/>
          <w:highlight w:val="none"/>
          <w:u w:val="single"/>
        </w:rPr>
        <w:t>不超过  日</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eastAsia" w:ascii="宋体" w:hAnsi="宋体"/>
          <w:color w:val="auto"/>
          <w:szCs w:val="21"/>
          <w:highlight w:val="none"/>
          <w:u w:val="single"/>
        </w:rPr>
        <w:t>不超过  日</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完成竣工付款申请单审核后  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pPr>
        <w:pStyle w:val="7"/>
        <w:spacing w:before="0" w:beforeAutospacing="0" w:after="0" w:afterAutospacing="0" w:line="360" w:lineRule="auto"/>
        <w:ind w:firstLine="422" w:firstLineChars="200"/>
        <w:rPr>
          <w:color w:val="auto"/>
          <w:sz w:val="21"/>
          <w:szCs w:val="21"/>
          <w:highlight w:val="none"/>
        </w:rPr>
      </w:pPr>
      <w:bookmarkStart w:id="1878" w:name="_Toc532377396"/>
      <w:bookmarkStart w:id="1879" w:name="_Toc532375659"/>
      <w:r>
        <w:rPr>
          <w:rFonts w:hint="eastAsia"/>
          <w:color w:val="auto"/>
          <w:sz w:val="21"/>
          <w:szCs w:val="21"/>
          <w:highlight w:val="none"/>
        </w:rPr>
        <w:t>14.4 最终结清</w:t>
      </w:r>
      <w:bookmarkEnd w:id="1878"/>
      <w:bookmarkEnd w:id="1879"/>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3份</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缺陷责任期终止证书颁发后14天内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1839"/>
    <w:bookmarkEnd w:id="1840"/>
    <w:bookmarkEnd w:id="1841"/>
    <w:bookmarkEnd w:id="1842"/>
    <w:bookmarkEnd w:id="1843"/>
    <w:bookmarkEnd w:id="1844"/>
    <w:bookmarkEnd w:id="1845"/>
    <w:bookmarkEnd w:id="1846"/>
    <w:p>
      <w:pPr>
        <w:pStyle w:val="7"/>
        <w:spacing w:before="0" w:beforeAutospacing="0" w:after="0" w:afterAutospacing="0" w:line="360" w:lineRule="auto"/>
        <w:ind w:firstLine="422" w:firstLineChars="200"/>
        <w:rPr>
          <w:color w:val="auto"/>
          <w:sz w:val="21"/>
          <w:szCs w:val="21"/>
          <w:highlight w:val="none"/>
        </w:rPr>
      </w:pPr>
      <w:bookmarkStart w:id="1880" w:name="_Toc532377397"/>
      <w:bookmarkStart w:id="1881" w:name="_Toc532375660"/>
      <w:r>
        <w:rPr>
          <w:rFonts w:hint="eastAsia"/>
          <w:color w:val="auto"/>
          <w:sz w:val="21"/>
          <w:szCs w:val="21"/>
          <w:highlight w:val="none"/>
        </w:rPr>
        <w:t>14.5 逾期办理或不配合办理竣工结算的处理</w:t>
      </w:r>
      <w:bookmarkEnd w:id="1880"/>
      <w:bookmarkEnd w:id="1881"/>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有下列情形之一的，视为承包人放弃与发包人共同办理竣工结算的权利，发包人有权会同跟审单位、监理人根据有效资料共同确定竣工结算金额。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882" w:name="_Hlk529133622"/>
      <w:r>
        <w:rPr>
          <w:rFonts w:hint="eastAsia" w:ascii="宋体" w:hAnsi="宋体"/>
          <w:color w:val="auto"/>
          <w:szCs w:val="21"/>
          <w:highlight w:val="none"/>
        </w:rPr>
        <w:t>次书面催告仍未在限期内报送的</w:t>
      </w:r>
      <w:bookmarkEnd w:id="1882"/>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（3）承包人不配合发包人、跟审单位、监理人、发包人委托的工程造价咨询服务单位办理竣工结算的，经发包人两次书面函告仍未改正的。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1547"/>
    <w:bookmarkEnd w:id="1548"/>
    <w:bookmarkEnd w:id="1549"/>
    <w:bookmarkEnd w:id="1550"/>
    <w:bookmarkEnd w:id="1551"/>
    <w:bookmarkEnd w:id="1552"/>
    <w:bookmarkEnd w:id="1553"/>
    <w:bookmarkEnd w:id="1554"/>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83" w:name="_Toc532375661"/>
      <w:bookmarkStart w:id="1884" w:name="_Toc351203647"/>
      <w:bookmarkStart w:id="1885" w:name="_Toc532377398"/>
      <w:bookmarkStart w:id="1886" w:name="_Toc267251483"/>
      <w:bookmarkStart w:id="1887" w:name="_Toc280868717"/>
      <w:bookmarkStart w:id="1888" w:name="_Toc280868718"/>
      <w:r>
        <w:rPr>
          <w:rFonts w:hint="eastAsia"/>
          <w:color w:val="auto"/>
          <w:kern w:val="2"/>
          <w:sz w:val="21"/>
          <w:szCs w:val="21"/>
          <w:highlight w:val="none"/>
        </w:rPr>
        <w:t>15. 缺陷责任期与保修</w:t>
      </w:r>
      <w:bookmarkEnd w:id="1883"/>
      <w:bookmarkEnd w:id="1884"/>
      <w:bookmarkEnd w:id="1885"/>
    </w:p>
    <w:bookmarkEnd w:id="1886"/>
    <w:p>
      <w:pPr>
        <w:pStyle w:val="7"/>
        <w:spacing w:before="0" w:beforeAutospacing="0" w:after="0" w:afterAutospacing="0" w:line="360" w:lineRule="auto"/>
        <w:ind w:firstLine="422" w:firstLineChars="200"/>
        <w:rPr>
          <w:color w:val="auto"/>
          <w:sz w:val="21"/>
          <w:szCs w:val="21"/>
          <w:highlight w:val="none"/>
        </w:rPr>
      </w:pPr>
      <w:bookmarkStart w:id="1889" w:name="_Toc532375662"/>
      <w:bookmarkStart w:id="1890" w:name="_Toc532377399"/>
      <w:r>
        <w:rPr>
          <w:rFonts w:hint="eastAsia"/>
          <w:color w:val="auto"/>
          <w:sz w:val="21"/>
          <w:szCs w:val="21"/>
          <w:highlight w:val="none"/>
        </w:rPr>
        <w:t>15.3 质量保证金</w:t>
      </w:r>
      <w:bookmarkEnd w:id="1889"/>
      <w:bookmarkEnd w:id="1890"/>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1）按竞争性比选文件载明的格式或发包人认可的格式向发包人提交不可撤销的见索即付银行保函</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2）出具保函的银行级别：</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ascii="宋体" w:hAnsi="宋体"/>
          <w:color w:val="auto"/>
          <w:szCs w:val="21"/>
          <w:highlight w:val="none"/>
          <w:u w:val="single"/>
        </w:rPr>
        <w:t xml:space="preserve">其他扣留方式：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（1）在发包人颁发缺陷责任期终止证书之日起14天内退还。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  年  月公布的5年期贷款市场报价利率支付利息</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②不采用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91" w:name="_Toc532377400"/>
      <w:bookmarkStart w:id="1892" w:name="_Toc532375663"/>
      <w:r>
        <w:rPr>
          <w:rFonts w:hint="eastAsia"/>
          <w:color w:val="auto"/>
          <w:sz w:val="21"/>
          <w:szCs w:val="21"/>
          <w:highlight w:val="none"/>
        </w:rPr>
        <w:t>15.4 保修</w:t>
      </w:r>
      <w:bookmarkEnd w:id="1891"/>
      <w:bookmarkEnd w:id="1892"/>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893" w:name="_Hlk524381274"/>
      <w:r>
        <w:rPr>
          <w:rFonts w:hint="eastAsia" w:ascii="宋体" w:hAnsi="宋体"/>
          <w:color w:val="auto"/>
          <w:szCs w:val="21"/>
          <w:highlight w:val="none"/>
        </w:rPr>
        <w:t>按照附件1《工程质量保修书》的规定执行。</w:t>
      </w:r>
      <w:bookmarkEnd w:id="189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  小时内，最长不能超过  小时</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94" w:name="_Toc351203648"/>
      <w:bookmarkStart w:id="1895" w:name="_Toc532377401"/>
      <w:bookmarkStart w:id="1896" w:name="_Toc532375664"/>
      <w:r>
        <w:rPr>
          <w:rFonts w:hint="eastAsia"/>
          <w:color w:val="auto"/>
          <w:kern w:val="2"/>
          <w:sz w:val="21"/>
          <w:szCs w:val="21"/>
          <w:highlight w:val="none"/>
        </w:rPr>
        <w:t>16. 违约</w:t>
      </w:r>
      <w:bookmarkEnd w:id="1894"/>
      <w:bookmarkEnd w:id="1895"/>
      <w:bookmarkEnd w:id="1896"/>
    </w:p>
    <w:p>
      <w:pPr>
        <w:pStyle w:val="7"/>
        <w:spacing w:before="0" w:beforeAutospacing="0" w:after="0" w:afterAutospacing="0" w:line="360" w:lineRule="auto"/>
        <w:ind w:firstLine="422" w:firstLineChars="200"/>
        <w:rPr>
          <w:color w:val="auto"/>
          <w:sz w:val="21"/>
          <w:szCs w:val="21"/>
          <w:highlight w:val="none"/>
        </w:rPr>
      </w:pPr>
      <w:bookmarkStart w:id="1897" w:name="_Toc532377402"/>
      <w:r>
        <w:rPr>
          <w:rFonts w:hint="eastAsia"/>
          <w:color w:val="auto"/>
          <w:sz w:val="21"/>
          <w:szCs w:val="21"/>
          <w:highlight w:val="none"/>
        </w:rPr>
        <w:t>16.1 发包人违约</w:t>
      </w:r>
      <w:bookmarkEnd w:id="189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 发包人违约的情形</w:t>
      </w:r>
    </w:p>
    <w:p>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除通用合同条款约定外，发包人违约的其他情形：</w:t>
      </w:r>
    </w:p>
    <w:p>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（1）根据专用合同条款7.5.1项因发包人原因导致工期延误的；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（2）因发包人原因未能及时办理完毕合同约定的许可、批准或备案的；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（5）因发包人原因造成工程质量未达到合同约定标准的；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（6）由于发包人原因对承包人造成的人员人身伤亡和财产损失的；</w:t>
      </w:r>
    </w:p>
    <w:p>
      <w:pPr>
        <w:pStyle w:val="7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（7）因发包人原因导致工程无法按期办理竣工验收或竣工结算的；</w:t>
      </w:r>
    </w:p>
    <w:p>
      <w:pPr>
        <w:pStyle w:val="7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（8）发包人无正当理由未按约定退还履约担保、低价风险担保、预付款担保或质量保证金的；</w:t>
      </w:r>
    </w:p>
    <w:p>
      <w:pPr>
        <w:pStyle w:val="7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（9）发包人不当提取履约担保、低价风险担保或质量保证金的；</w:t>
      </w:r>
    </w:p>
    <w:p>
      <w:pPr>
        <w:pStyle w:val="7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（10）发包人未按合同约定接收全部或部分工作的；</w:t>
      </w:r>
    </w:p>
    <w:p>
      <w:pPr>
        <w:pStyle w:val="74"/>
        <w:spacing w:line="360" w:lineRule="auto"/>
        <w:jc w:val="left"/>
        <w:rPr>
          <w:rFonts w:ascii="宋体" w:hAnsi="宋体" w:cs="Microsoft Sans Serif"/>
          <w:color w:val="auto"/>
          <w:kern w:val="0"/>
          <w:sz w:val="21"/>
          <w:szCs w:val="21"/>
          <w:highlight w:val="none"/>
          <w:u w:val="single"/>
        </w:rPr>
      </w:pPr>
      <w:r>
        <w:rPr>
          <w:rFonts w:hint="eastAsia" w:ascii="宋体" w:hAnsi="宋体" w:cs="Microsoft Sans Serif"/>
          <w:color w:val="auto"/>
          <w:kern w:val="0"/>
          <w:sz w:val="21"/>
          <w:szCs w:val="21"/>
          <w:highlight w:val="none"/>
        </w:rPr>
        <w:t>（11）发包人未按合同约定办理保险的；</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u w:val="single"/>
        </w:rPr>
        <w:t xml:space="preserve">（12）其他：        </w:t>
      </w:r>
      <w:r>
        <w:rPr>
          <w:rFonts w:hint="eastAsia" w:ascii="宋体" w:hAnsi="宋体" w:cs="Microsoft Sans Serif"/>
          <w:color w:val="auto"/>
          <w:kern w:val="0"/>
          <w:szCs w:val="21"/>
          <w:highlight w:val="none"/>
        </w:rPr>
        <w:t>。</w:t>
      </w:r>
    </w:p>
    <w:p>
      <w:pPr>
        <w:pStyle w:val="74"/>
        <w:spacing w:line="360" w:lineRule="auto"/>
        <w:rPr>
          <w:rFonts w:ascii="宋体" w:hAnsi="宋体"/>
          <w:color w:val="auto"/>
          <w:sz w:val="21"/>
          <w:szCs w:val="21"/>
          <w:highlight w:val="none"/>
        </w:rPr>
      </w:pPr>
      <w:r>
        <w:rPr>
          <w:rFonts w:hint="eastAsia" w:ascii="宋体" w:hAnsi="宋体"/>
          <w:color w:val="auto"/>
          <w:sz w:val="21"/>
          <w:szCs w:val="21"/>
          <w:highlight w:val="none"/>
        </w:rPr>
        <w:t>16.1.2发包人违约的责任</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（1）因发包人原因未能及时办理完毕前述许可、批准或备案的违约责任：由发包人承担由此增加的费用和（或）顺延工期，并支付合理利润，具体索赔程序按照第19条〔索赔〕约定执行。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（3）因发包人原因导致工期延误的违约责任：由发包人承担由此增加的费用和（或）顺延工期，并支付合理利润，具体索赔程序按照第19条〔索赔〕约定执行。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（4）因发包人原因未能在计划开工日期前7天内下达开工通知的违约责任：由发包人承担由此增加的费用和（或）顺延工期，并支付合理利润，具体索赔程序按照第19条〔索赔〕约定执行。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（5）根据5.3.3项发包人或监理人要求重新检查的，经检查证明工程质量符合合同要求的，由发包人承担由此增加的费用和（或）顺延工期，并支付合理利润，具体索赔程序按照第19条〔索赔〕约定执行。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Microsoft Sans Serif"/>
          <w:color w:val="auto"/>
          <w:kern w:val="0"/>
          <w:szCs w:val="21"/>
          <w:highlight w:val="none"/>
          <w:u w:val="single"/>
        </w:rPr>
        <w:t>违约金=应付未付金额×中国人民银行  年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u w:val="single"/>
        </w:rPr>
        <w:t>；逾期天数超过56天的，超过部分天数按上述利率的两倍计算并支付违约金</w:t>
      </w:r>
      <w:r>
        <w:rPr>
          <w:rFonts w:hint="eastAsia" w:ascii="宋体" w:hAnsi="宋体" w:cs="Microsoft Sans Serif"/>
          <w:color w:val="auto"/>
          <w:kern w:val="0"/>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（7）发包人违反合同约定，自行实施或转由他人实施被取消的合同工作内容的违约责任：由发包人承担由此给承包人造成的实际损失并支付合理利润。</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（9）因发包人原因造成工程质量未达到合同约定标准的，由发包人承担由此增加的费用和（或）延误的工期，并支付合理利润。</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（10）因发包人违反合同约定造成暂停施工的违约责任：由发包人承担由此增加的费用和（或）顺延工期，并支付合理利润，具体索赔程序按照第19条〔索赔〕约定执行。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（12）因发包人原因导致工程无法按期办理竣工验收或竣工结算的违约责任：由发包人承担由此增加的费用和（或）顺延工期，并支付合理利润，具体索赔程序按照第19条〔索赔〕约定执行。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olor w:val="auto"/>
          <w:szCs w:val="21"/>
          <w:highlight w:val="none"/>
        </w:rPr>
        <w:t>（13）</w:t>
      </w:r>
      <w:r>
        <w:rPr>
          <w:rFonts w:hint="eastAsia" w:ascii="宋体" w:hAnsi="宋体" w:cs="Microsoft Sans Serif"/>
          <w:color w:val="auto"/>
          <w:kern w:val="0"/>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color w:val="auto"/>
          <w:kern w:val="0"/>
          <w:szCs w:val="21"/>
          <w:highlight w:val="none"/>
          <w:u w:val="single"/>
        </w:rPr>
        <w:t>计算公式：违约金=应退未退担保金额×中国人民银行  年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rPr>
        <w:t>。</w:t>
      </w:r>
    </w:p>
    <w:p>
      <w:pPr>
        <w:pStyle w:val="2"/>
        <w:spacing w:after="0"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olor w:val="auto"/>
          <w:szCs w:val="21"/>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color w:val="auto"/>
          <w:szCs w:val="21"/>
          <w:highlight w:val="none"/>
          <w:u w:val="single"/>
        </w:rPr>
        <w:t>计算公式：违约金=不当提取的担保金额×中国人民银行  年  月公布的5年期贷款市场报价利率/360天×逾期天数（自第29天起计算）</w:t>
      </w:r>
      <w:r>
        <w:rPr>
          <w:rFonts w:hint="eastAsia" w:ascii="宋体" w:hAnsi="宋体"/>
          <w:color w:val="auto"/>
          <w:szCs w:val="21"/>
          <w:highlight w:val="none"/>
        </w:rPr>
        <w:t>。</w:t>
      </w:r>
    </w:p>
    <w:p>
      <w:pPr>
        <w:pStyle w:val="2"/>
        <w:spacing w:after="0"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（15）发包人未按合同约定接收全部或部分工作的违约责任：由发包人承担自应当接收工程之日起的工程照管、成品保护、保管等与工程有关的各项费用。</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（16）由于发包人原因对承包人造成的人员人身伤亡和财产损失的，由发包人负责赔偿，并承担由此增加的费用和（或）延误的工期，并支付合理利润。</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（17）发包人未按合同约定办理保险的违约责任：除按18.6.1项约定执行外，每延迟1天，按</w:t>
      </w:r>
      <w:r>
        <w:rPr>
          <w:rFonts w:hint="eastAsia" w:ascii="宋体" w:hAnsi="宋体" w:cs="Microsoft Sans Serif"/>
          <w:color w:val="auto"/>
          <w:kern w:val="0"/>
          <w:szCs w:val="21"/>
          <w:highlight w:val="none"/>
          <w:u w:val="single"/>
        </w:rPr>
        <w:t>500元/天</w:t>
      </w:r>
      <w:r>
        <w:rPr>
          <w:rFonts w:hint="eastAsia" w:ascii="宋体" w:hAnsi="宋体" w:cs="Microsoft Sans Serif"/>
          <w:color w:val="auto"/>
          <w:kern w:val="0"/>
          <w:szCs w:val="21"/>
          <w:highlight w:val="none"/>
        </w:rPr>
        <w:t>支付违约金。</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（18）其他：</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 因发包人违约解除合同</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因发包人违约并致使合同目的不能实现的，承包人有权解除合同：</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（1）因发包人原因延迟支付合同价款超过180天的；</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（2）因发包人原因导致工期延误超过90天的；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（3）因发包人第16.1.2（5）违约情形导致暂停施工满56天，且发包人仍未纠正其违约行为的；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（4）其他未履行合同项下的义务构成对合同的实质性违约，并且在收到承包人要求说明其违约并予以补救的通知后56天内仍未补救该实质性违约的；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合同约定的承包人有权解除合同的其他情形</w:t>
      </w:r>
      <w:r>
        <w:rPr>
          <w:rFonts w:hint="eastAsia" w:ascii="宋体" w:hAnsi="宋体" w:cs="Microsoft Sans Serif"/>
          <w:color w:val="auto"/>
          <w:kern w:val="0"/>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16.1.4 因发包人违约解除合同后的付款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承包人按照本款约定解除合同的，发包人应在解除合同后28天内支付下列款项，并解除履约担保、低价风险担保、预付款担保：</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（1）合同解除前所完成工作的价款；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（2）承包人为工程施工订购并已付款的材料、工程设备和其他物品的价款；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（3）承包人撤离施工现场以及遣散承包人人员的款项；</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（4）按照合同约定在合同解除前应支付的违约金；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（5）按照合同约定应当支付给承包人的其他款项；</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（6）按照合同约定应退还的质量保证金；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（7）因解除合同给承包人造成的损失；</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w:t>
      </w:r>
      <w:r>
        <w:rPr>
          <w:rFonts w:hint="eastAsia" w:ascii="宋体" w:hAnsi="宋体" w:cs="Microsoft Sans Serif"/>
          <w:color w:val="auto"/>
          <w:kern w:val="0"/>
          <w:szCs w:val="21"/>
          <w:highlight w:val="none"/>
          <w:u w:val="single"/>
        </w:rPr>
        <w:t xml:space="preserve">        。</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合同当事人未能就解除合同后的结清达成一致的，按照第20条〔争议解决〕的约定处理。</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color w:val="auto"/>
          <w:sz w:val="21"/>
          <w:szCs w:val="21"/>
          <w:highlight w:val="none"/>
        </w:rPr>
      </w:pPr>
      <w:bookmarkStart w:id="1898" w:name="_Toc532377403"/>
      <w:r>
        <w:rPr>
          <w:rFonts w:hint="eastAsia"/>
          <w:color w:val="auto"/>
          <w:sz w:val="21"/>
          <w:szCs w:val="21"/>
          <w:highlight w:val="none"/>
        </w:rPr>
        <w:t>16.2 承包人违约</w:t>
      </w:r>
      <w:bookmarkEnd w:id="1898"/>
    </w:p>
    <w:p>
      <w:pPr>
        <w:snapToGrid w:val="0"/>
        <w:spacing w:line="360" w:lineRule="auto"/>
        <w:ind w:firstLine="420" w:firstLineChars="200"/>
        <w:jc w:val="left"/>
        <w:rPr>
          <w:rFonts w:ascii="宋体" w:hAnsi="宋体" w:cs="Microsoft Sans Serif"/>
          <w:color w:val="auto"/>
          <w:kern w:val="0"/>
          <w:szCs w:val="21"/>
          <w:highlight w:val="none"/>
        </w:rPr>
      </w:pPr>
      <w:bookmarkStart w:id="1899" w:name="_Hlk524380579"/>
      <w:r>
        <w:rPr>
          <w:rFonts w:hint="eastAsia" w:ascii="宋体" w:hAnsi="宋体" w:cs="Microsoft Sans Serif"/>
          <w:color w:val="auto"/>
          <w:kern w:val="0"/>
          <w:szCs w:val="21"/>
          <w:highlight w:val="none"/>
        </w:rPr>
        <w:t>16.2.1 承包人违约的情形</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（3）承包人未按比选申请文件或监理人的要求及时配备称职的主要管理人员，或承包人未按经审定的施工组织设计配备或更换关键施工设备的；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1）承包人未提交主要施工管理人员劳动合同和社会保险证明的；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bookmarkEnd w:id="1899"/>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发包人在合同签订前对承包人已标价工程量清单清标时发现承包人的工程量清单综合单价报价超过比选时给出的工程量清单综合单价最高限价，结算时拒不接受发包人以发出的工程量清单综合单价最高限价为基础，按照承包人的中标总报价与本工程的总价最高限价的下浮比例进行同比例下调的。</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16.2.2 承包人违约的责任</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承包人违约责任的承担方式和计算方法：</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（1）承包人未按合同约定提交履约担保、质量保证金的违约责任：承包人应支付违约金，</w:t>
      </w:r>
      <w:r>
        <w:rPr>
          <w:rFonts w:hint="eastAsia" w:ascii="宋体" w:hAnsi="宋体" w:cs="Microsoft Sans Serif"/>
          <w:color w:val="auto"/>
          <w:szCs w:val="21"/>
          <w:highlight w:val="none"/>
        </w:rPr>
        <w:t>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计算违约金，累计违约金上限：</w:t>
      </w:r>
      <w:r>
        <w:rPr>
          <w:rFonts w:hint="eastAsia" w:ascii="宋体" w:hAnsi="宋体" w:cs="Microsoft Sans Serif"/>
          <w:color w:val="auto"/>
          <w:kern w:val="0"/>
          <w:szCs w:val="21"/>
          <w:highlight w:val="none"/>
          <w:u w:val="single"/>
        </w:rPr>
        <w:t xml:space="preserve">  万元（不超过签约合同价的3%）</w:t>
      </w:r>
      <w:r>
        <w:rPr>
          <w:rFonts w:hint="eastAsia" w:ascii="宋体" w:hAnsi="宋体" w:cs="Microsoft Sans Serif"/>
          <w:color w:val="auto"/>
          <w:kern w:val="0"/>
          <w:szCs w:val="21"/>
          <w:highlight w:val="none"/>
          <w:lang w:val="zh-CN"/>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支付违约金，违法转/分包商应在7天内撤离出场。</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highlight w:val="none"/>
          <w:u w:val="single"/>
        </w:rPr>
        <w:t xml:space="preserve">  （1～5）%</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（6）因承包人原因造成工期延误的违约承担方式和计算方法：由承包人承担由此增加的费用，</w:t>
      </w:r>
      <w:r>
        <w:rPr>
          <w:rFonts w:hint="eastAsia" w:ascii="宋体" w:hAnsi="宋体" w:cs="Microsoft Sans Serif"/>
          <w:color w:val="auto"/>
          <w:szCs w:val="21"/>
          <w:highlight w:val="none"/>
        </w:rPr>
        <w:t>由此导致工期延误的，工期不予顺延；逾期竣工违约金的计算方法：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计算逾期竣工违约金，累计违约金上限：</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万元（不超过签约合同价的3%）</w:t>
      </w:r>
      <w:r>
        <w:rPr>
          <w:rFonts w:hint="eastAsia" w:ascii="宋体" w:hAnsi="宋体" w:cs="Microsoft Sans Serif"/>
          <w:color w:val="auto"/>
          <w:kern w:val="0"/>
          <w:szCs w:val="21"/>
          <w:highlight w:val="none"/>
          <w:lang w:val="zh-CN"/>
        </w:rPr>
        <w:t>；</w:t>
      </w:r>
      <w:r>
        <w:rPr>
          <w:rFonts w:hint="eastAsia" w:ascii="宋体" w:hAnsi="宋体" w:cs="Microsoft Sans Serif"/>
          <w:color w:val="auto"/>
          <w:kern w:val="0"/>
          <w:szCs w:val="21"/>
          <w:highlight w:val="none"/>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highlight w:val="none"/>
          <w:u w:val="single"/>
        </w:rPr>
        <w:t xml:space="preserve">  （0.5～2）%</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（8）承包人明确表示或者以其行为表明不履行合同主要义务的违约责任：按签约合同价的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（9）承包人未能按照合同约定履行其他义务的违约责任：按</w:t>
      </w:r>
      <w:r>
        <w:rPr>
          <w:rFonts w:hint="eastAsia" w:ascii="宋体" w:hAnsi="宋体" w:cs="Microsoft Sans Serif"/>
          <w:color w:val="auto"/>
          <w:kern w:val="0"/>
          <w:szCs w:val="21"/>
          <w:highlight w:val="none"/>
          <w:u w:val="single"/>
        </w:rPr>
        <w:t>（500～5000）元/次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（10）承包人未能按期开工的违约责任：按合同价</w:t>
      </w:r>
      <w:r>
        <w:rPr>
          <w:rFonts w:hint="eastAsia" w:ascii="宋体" w:hAnsi="宋体" w:cs="Microsoft Sans Serif"/>
          <w:color w:val="auto"/>
          <w:kern w:val="0"/>
          <w:szCs w:val="21"/>
          <w:highlight w:val="none"/>
          <w:u w:val="single"/>
        </w:rPr>
        <w:t>0.2‰/天</w:t>
      </w:r>
      <w:r>
        <w:rPr>
          <w:rFonts w:hint="eastAsia" w:ascii="宋体" w:hAnsi="宋体" w:cs="Microsoft Sans Serif"/>
          <w:color w:val="auto"/>
          <w:kern w:val="0"/>
          <w:szCs w:val="21"/>
          <w:highlight w:val="none"/>
        </w:rPr>
        <w:t>支付违约金，本项违约金累计限额为签约合同价的</w:t>
      </w:r>
      <w:r>
        <w:rPr>
          <w:rFonts w:hint="eastAsia" w:ascii="宋体" w:hAnsi="宋体" w:cs="Microsoft Sans Serif"/>
          <w:color w:val="auto"/>
          <w:kern w:val="0"/>
          <w:szCs w:val="21"/>
          <w:highlight w:val="none"/>
          <w:u w:val="single"/>
        </w:rPr>
        <w:t xml:space="preserve"> 1 %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（11）承包人未按经审定的施工组织设计配备或更换关键施工设备的违约责任：按</w:t>
      </w:r>
      <w:r>
        <w:rPr>
          <w:rFonts w:hint="eastAsia" w:ascii="宋体" w:hAnsi="宋体" w:cs="Microsoft Sans Serif"/>
          <w:color w:val="auto"/>
          <w:kern w:val="0"/>
          <w:szCs w:val="21"/>
          <w:highlight w:val="none"/>
          <w:u w:val="single"/>
        </w:rPr>
        <w:t xml:space="preserve">  （5000～50000）元/台·次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（12）承包人有安全问题或有违反安全管理规章制度情况的违约责任：根据具体情节，按签约合同价的</w:t>
      </w:r>
      <w:r>
        <w:rPr>
          <w:rFonts w:hint="eastAsia" w:ascii="宋体" w:hAnsi="宋体" w:cs="Microsoft Sans Serif"/>
          <w:color w:val="auto"/>
          <w:kern w:val="0"/>
          <w:szCs w:val="21"/>
          <w:highlight w:val="none"/>
          <w:u w:val="single"/>
        </w:rPr>
        <w:t>0.5‰～4‰/次</w:t>
      </w:r>
      <w:r>
        <w:rPr>
          <w:rFonts w:hint="eastAsia" w:ascii="宋体" w:hAnsi="宋体" w:cs="Microsoft Sans Serif"/>
          <w:color w:val="auto"/>
          <w:kern w:val="0"/>
          <w:szCs w:val="21"/>
          <w:highlight w:val="none"/>
        </w:rPr>
        <w:t>支付违约金（累计不超过签约合同价的1%，详见附件9安全管理协议）。</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highlight w:val="none"/>
          <w:u w:val="single"/>
        </w:rPr>
        <w:t xml:space="preserve">  （50000～200000）元/次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szCs w:val="21"/>
          <w:highlight w:val="none"/>
          <w:u w:val="single"/>
        </w:rPr>
        <w:t xml:space="preserve">  （10000～100000）元/次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highlight w:val="none"/>
          <w:u w:val="single"/>
        </w:rPr>
        <w:t>0.5～1‰</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（16）承包人未按合同约定购买保险的违约责任：除按18.6.2项约定执行外，每延迟1天，按</w:t>
      </w:r>
      <w:r>
        <w:rPr>
          <w:rFonts w:hint="eastAsia" w:ascii="宋体" w:hAnsi="宋体" w:cs="Microsoft Sans Serif"/>
          <w:color w:val="auto"/>
          <w:szCs w:val="21"/>
          <w:highlight w:val="none"/>
          <w:u w:val="single"/>
        </w:rPr>
        <w:t>500元/天</w:t>
      </w:r>
      <w:r>
        <w:rPr>
          <w:rFonts w:hint="eastAsia" w:ascii="宋体" w:hAnsi="宋体" w:cs="Microsoft Sans Serif"/>
          <w:color w:val="auto"/>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1）项目经理违约承担方式和计算方法：对于第16.2.1项（11）目的情形，每发现一次，根据具体情节，按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计算违约金；项目经理不按承诺到岗的（</w:t>
      </w:r>
      <w:r>
        <w:rPr>
          <w:rFonts w:ascii="宋体" w:hAnsi="宋体" w:cs="Microsoft Sans Serif"/>
          <w:color w:val="auto"/>
          <w:kern w:val="0"/>
          <w:szCs w:val="21"/>
          <w:highlight w:val="none"/>
        </w:rPr>
        <w:t>3.2.3项约定的情形除外</w:t>
      </w:r>
      <w:r>
        <w:rPr>
          <w:rFonts w:hint="eastAsia" w:ascii="宋体" w:hAnsi="宋体" w:cs="Microsoft Sans Serif"/>
          <w:color w:val="auto"/>
          <w:kern w:val="0"/>
          <w:szCs w:val="21"/>
          <w:highlight w:val="none"/>
        </w:rPr>
        <w:t>），按履约保证金的</w:t>
      </w:r>
      <w:r>
        <w:rPr>
          <w:rFonts w:hint="eastAsia" w:ascii="宋体" w:hAnsi="宋体" w:cs="Microsoft Sans Serif"/>
          <w:color w:val="auto"/>
          <w:kern w:val="0"/>
          <w:szCs w:val="21"/>
          <w:highlight w:val="none"/>
          <w:u w:val="single"/>
        </w:rPr>
        <w:t>（50～100）%</w:t>
      </w:r>
      <w:r>
        <w:rPr>
          <w:rFonts w:hint="eastAsia" w:ascii="宋体" w:hAnsi="宋体" w:cs="Microsoft Sans Serif"/>
          <w:color w:val="auto"/>
          <w:kern w:val="0"/>
          <w:szCs w:val="21"/>
          <w:highlight w:val="none"/>
        </w:rPr>
        <w:t>支付违约金，并解除合同；擅自更换项目经理的，按签约合同价的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w:t>
      </w:r>
      <w:r>
        <w:rPr>
          <w:rFonts w:hint="eastAsia" w:ascii="宋体" w:hAnsi="宋体" w:cs="Microsoft Sans Serif"/>
          <w:color w:val="auto"/>
          <w:kern w:val="0"/>
          <w:szCs w:val="21"/>
          <w:highlight w:val="none"/>
        </w:rPr>
        <w:t>万，累计不超过</w:t>
      </w:r>
      <w:r>
        <w:rPr>
          <w:rFonts w:hint="eastAsia" w:ascii="宋体" w:hAnsi="宋体" w:cs="Microsoft Sans Serif"/>
          <w:color w:val="auto"/>
          <w:kern w:val="0"/>
          <w:szCs w:val="21"/>
          <w:highlight w:val="none"/>
          <w:u w:val="single"/>
        </w:rPr>
        <w:t>200</w:t>
      </w:r>
      <w:r>
        <w:rPr>
          <w:rFonts w:hint="eastAsia" w:ascii="宋体" w:hAnsi="宋体" w:cs="Microsoft Sans Serif"/>
          <w:color w:val="auto"/>
          <w:kern w:val="0"/>
          <w:szCs w:val="21"/>
          <w:highlight w:val="none"/>
        </w:rPr>
        <w:t>万。</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2）主要技术负责人违约承担方式和计算方法：对于第16.2.1项（12）目的六种情形，每发现一次，根据具体情节，按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计算违约金；擅自更换主要技术负责人的，按签约合同价的</w:t>
      </w:r>
      <w:r>
        <w:rPr>
          <w:rFonts w:hint="eastAsia" w:ascii="宋体" w:hAnsi="宋体" w:cs="Microsoft Sans Serif"/>
          <w:color w:val="auto"/>
          <w:kern w:val="0"/>
          <w:szCs w:val="21"/>
          <w:highlight w:val="none"/>
          <w:u w:val="single"/>
        </w:rPr>
        <w:t>（0.5～2）%/人·次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10万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100万</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3）主要施工管理人员违约承担方式和计算方法：对于第16.2.1项（13）目的五种情形，每发现一次，根据具体情节，按</w:t>
      </w:r>
      <w:r>
        <w:rPr>
          <w:rFonts w:hint="eastAsia" w:ascii="宋体" w:hAnsi="宋体" w:cs="Microsoft Sans Serif"/>
          <w:color w:val="auto"/>
          <w:kern w:val="0"/>
          <w:szCs w:val="21"/>
          <w:highlight w:val="none"/>
          <w:u w:val="single"/>
        </w:rPr>
        <w:t>500～10000元/天·次</w:t>
      </w:r>
      <w:r>
        <w:rPr>
          <w:rFonts w:hint="eastAsia" w:ascii="宋体" w:hAnsi="宋体" w:cs="Microsoft Sans Serif"/>
          <w:color w:val="auto"/>
          <w:kern w:val="0"/>
          <w:szCs w:val="21"/>
          <w:highlight w:val="none"/>
        </w:rPr>
        <w:t>计算违约金。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bookmarkStart w:id="1900" w:name="_Hlk524380347"/>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highlight w:val="none"/>
        </w:rPr>
        <w:t>16.2.2项第（1）目承担违约责任</w:t>
      </w:r>
      <w:r>
        <w:rPr>
          <w:rFonts w:hint="eastAsia" w:ascii="宋体" w:hAnsi="宋体" w:cs="Microsoft Sans Serif"/>
          <w:color w:val="auto"/>
          <w:szCs w:val="21"/>
          <w:highlight w:val="none"/>
        </w:rPr>
        <w:t>，并从应付或到期应付给承包人的任何款项中或采用其他方法，扣除该违约金。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highlight w:val="none"/>
        </w:rPr>
        <w:t>，承担由此给</w:t>
      </w:r>
      <w:r>
        <w:rPr>
          <w:rFonts w:hint="eastAsia" w:ascii="宋体" w:hAnsi="宋体" w:cs="Microsoft Sans Serif"/>
          <w:color w:val="auto"/>
          <w:szCs w:val="21"/>
          <w:highlight w:val="none"/>
        </w:rPr>
        <w:t>发包人造成的经济损失。</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承包人承担承包范围的工程质量、安全、环保责任，因承包人原因引起的质量、安全、环保等事故由承包人承担相应的法律后果。</w:t>
      </w:r>
    </w:p>
    <w:bookmarkEnd w:id="1900"/>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因承包人违约并致使合同目的不能实现的，发包人有权解除合同：</w:t>
      </w:r>
    </w:p>
    <w:p>
      <w:pPr>
        <w:pStyle w:val="7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pPr>
        <w:pStyle w:val="7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pPr>
        <w:pStyle w:val="7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pPr>
        <w:pStyle w:val="7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pPr>
        <w:pStyle w:val="7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pPr>
        <w:pStyle w:val="7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pPr>
        <w:pStyle w:val="7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（9）承包人未履行合同项下的义务构成对合同的实质性违约，并且在收到发包人要求说明其违约并予以补救的通知后56天内仍未能补救该实质性违约的；</w:t>
      </w:r>
    </w:p>
    <w:p>
      <w:pPr>
        <w:pStyle w:val="7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w:t>
      </w:r>
    </w:p>
    <w:p>
      <w:pPr>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887"/>
    <w:bookmarkEnd w:id="1888"/>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01" w:name="_Toc532377404"/>
      <w:bookmarkStart w:id="1902" w:name="_Toc351203649"/>
      <w:bookmarkStart w:id="1903" w:name="_Toc532375665"/>
      <w:bookmarkStart w:id="1904" w:name="_Hlk528928440"/>
      <w:r>
        <w:rPr>
          <w:rFonts w:hint="eastAsia"/>
          <w:color w:val="auto"/>
          <w:kern w:val="2"/>
          <w:sz w:val="21"/>
          <w:szCs w:val="21"/>
          <w:highlight w:val="none"/>
        </w:rPr>
        <w:t>17. 不可抗力</w:t>
      </w:r>
      <w:bookmarkEnd w:id="1901"/>
      <w:bookmarkEnd w:id="1902"/>
      <w:bookmarkEnd w:id="1903"/>
    </w:p>
    <w:p>
      <w:pPr>
        <w:pStyle w:val="7"/>
        <w:spacing w:before="0" w:beforeAutospacing="0" w:after="0" w:afterAutospacing="0" w:line="360" w:lineRule="auto"/>
        <w:ind w:firstLine="422" w:firstLineChars="200"/>
        <w:rPr>
          <w:color w:val="auto"/>
          <w:sz w:val="21"/>
          <w:szCs w:val="21"/>
          <w:highlight w:val="none"/>
        </w:rPr>
      </w:pPr>
      <w:bookmarkStart w:id="1905" w:name="_Toc532375666"/>
      <w:bookmarkStart w:id="1906" w:name="_Toc532377405"/>
      <w:r>
        <w:rPr>
          <w:rFonts w:hint="eastAsia"/>
          <w:color w:val="auto"/>
          <w:sz w:val="21"/>
          <w:szCs w:val="21"/>
          <w:highlight w:val="none"/>
        </w:rPr>
        <w:t>17.1 不可抗力的确认</w:t>
      </w:r>
      <w:bookmarkEnd w:id="1905"/>
      <w:bookmarkEnd w:id="1906"/>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907" w:name="_Hlk52437963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907"/>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08" w:name="_Toc532377406"/>
      <w:bookmarkStart w:id="1909" w:name="_Toc532375667"/>
      <w:bookmarkStart w:id="1910" w:name="_Toc351203610"/>
      <w:bookmarkStart w:id="1911" w:name="_Toc296503119"/>
      <w:bookmarkStart w:id="1912" w:name="_Toc296346620"/>
      <w:bookmarkStart w:id="1913" w:name="_Toc337558826"/>
      <w:r>
        <w:rPr>
          <w:rFonts w:hint="eastAsia"/>
          <w:color w:val="auto"/>
          <w:sz w:val="21"/>
          <w:szCs w:val="21"/>
          <w:highlight w:val="none"/>
        </w:rPr>
        <w:t>17.3 不可抗力后果的承担</w:t>
      </w:r>
      <w:bookmarkEnd w:id="1908"/>
      <w:bookmarkEnd w:id="1909"/>
      <w:bookmarkEnd w:id="1910"/>
    </w:p>
    <w:bookmarkEnd w:id="1911"/>
    <w:bookmarkEnd w:id="1912"/>
    <w:bookmarkEnd w:id="1913"/>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14" w:name="_Toc532375668"/>
      <w:bookmarkStart w:id="1915" w:name="_Toc532377407"/>
      <w:r>
        <w:rPr>
          <w:rFonts w:hint="eastAsia"/>
          <w:color w:val="auto"/>
          <w:sz w:val="21"/>
          <w:szCs w:val="21"/>
          <w:highlight w:val="none"/>
        </w:rPr>
        <w:t>17.4 因不可抗力解除合同</w:t>
      </w:r>
      <w:bookmarkEnd w:id="1914"/>
      <w:bookmarkEnd w:id="191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16" w:name="_Toc532375669"/>
      <w:bookmarkStart w:id="1917" w:name="_Toc532377408"/>
      <w:bookmarkStart w:id="1918" w:name="_Toc351203650"/>
      <w:r>
        <w:rPr>
          <w:rFonts w:hint="eastAsia"/>
          <w:color w:val="auto"/>
          <w:kern w:val="2"/>
          <w:sz w:val="21"/>
          <w:szCs w:val="21"/>
          <w:highlight w:val="none"/>
        </w:rPr>
        <w:t>18. 保险</w:t>
      </w:r>
      <w:bookmarkEnd w:id="1916"/>
      <w:bookmarkEnd w:id="1917"/>
      <w:bookmarkEnd w:id="1918"/>
    </w:p>
    <w:p>
      <w:pPr>
        <w:pStyle w:val="7"/>
        <w:spacing w:before="0" w:beforeAutospacing="0" w:after="0" w:afterAutospacing="0" w:line="360" w:lineRule="auto"/>
        <w:ind w:firstLine="422" w:firstLineChars="200"/>
        <w:rPr>
          <w:color w:val="auto"/>
          <w:sz w:val="21"/>
          <w:szCs w:val="21"/>
          <w:highlight w:val="none"/>
        </w:rPr>
      </w:pPr>
      <w:bookmarkStart w:id="1919" w:name="_Toc532377409"/>
      <w:bookmarkStart w:id="1920" w:name="_Toc532375670"/>
      <w:r>
        <w:rPr>
          <w:rFonts w:hint="eastAsia"/>
          <w:color w:val="auto"/>
          <w:sz w:val="21"/>
          <w:szCs w:val="21"/>
          <w:highlight w:val="none"/>
        </w:rPr>
        <w:t>18.1 工程保险</w:t>
      </w:r>
      <w:bookmarkEnd w:id="1919"/>
      <w:bookmarkEnd w:id="1920"/>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关于工程保险的特别约定：发包人应投保</w:t>
      </w:r>
      <w:r>
        <w:rPr>
          <w:rFonts w:hint="eastAsia" w:ascii="宋体" w:hAnsi="宋体"/>
          <w:color w:val="auto"/>
          <w:szCs w:val="21"/>
          <w:highlight w:val="none"/>
          <w:u w:val="single"/>
        </w:rPr>
        <w:t>建筑工程一切险或安装工程一切险</w:t>
      </w:r>
      <w:r>
        <w:rPr>
          <w:rFonts w:hint="eastAsia" w:ascii="宋体" w:hAnsi="宋体"/>
          <w:color w:val="auto"/>
          <w:szCs w:val="21"/>
          <w:highlight w:val="none"/>
        </w:rPr>
        <w:t>；发包人委托承包人投保的，因投保产生的保险费和其他相关费用由发包人承担。</w:t>
      </w:r>
    </w:p>
    <w:p>
      <w:pPr>
        <w:pStyle w:val="7"/>
        <w:spacing w:before="0" w:beforeAutospacing="0" w:after="0" w:afterAutospacing="0" w:line="360" w:lineRule="auto"/>
        <w:ind w:firstLine="422" w:firstLineChars="200"/>
        <w:rPr>
          <w:color w:val="auto"/>
          <w:sz w:val="21"/>
          <w:szCs w:val="21"/>
          <w:highlight w:val="none"/>
        </w:rPr>
      </w:pPr>
      <w:bookmarkStart w:id="1921" w:name="_Toc532375671"/>
      <w:bookmarkStart w:id="1922" w:name="_Toc532377410"/>
      <w:r>
        <w:rPr>
          <w:rFonts w:hint="eastAsia"/>
          <w:color w:val="auto"/>
          <w:sz w:val="21"/>
          <w:szCs w:val="21"/>
          <w:highlight w:val="none"/>
        </w:rPr>
        <w:t>18.3 其他保险</w:t>
      </w:r>
      <w:bookmarkEnd w:id="1921"/>
      <w:bookmarkEnd w:id="1922"/>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23" w:name="_Toc532377411"/>
      <w:bookmarkStart w:id="1924" w:name="_Toc532375672"/>
      <w:r>
        <w:rPr>
          <w:rFonts w:hint="eastAsia"/>
          <w:color w:val="auto"/>
          <w:sz w:val="21"/>
          <w:szCs w:val="21"/>
          <w:highlight w:val="none"/>
        </w:rPr>
        <w:t>18.7 通知义务</w:t>
      </w:r>
      <w:bookmarkEnd w:id="1923"/>
      <w:bookmarkEnd w:id="1924"/>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25" w:name="_Toc532377412"/>
      <w:bookmarkStart w:id="1926" w:name="_Toc532375673"/>
      <w:r>
        <w:rPr>
          <w:rFonts w:hint="eastAsia"/>
          <w:color w:val="auto"/>
          <w:sz w:val="21"/>
          <w:szCs w:val="21"/>
          <w:highlight w:val="none"/>
        </w:rPr>
        <w:t>18.8 其他</w:t>
      </w:r>
      <w:bookmarkEnd w:id="1925"/>
      <w:bookmarkEnd w:id="1926"/>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927" w:name="_Hlk524378346"/>
      <w:r>
        <w:rPr>
          <w:rFonts w:hint="eastAsia" w:ascii="宋体" w:hAnsi="宋体"/>
          <w:color w:val="auto"/>
          <w:szCs w:val="21"/>
          <w:highlight w:val="none"/>
        </w:rPr>
        <w:t>差额由承包人负责补足</w:t>
      </w:r>
      <w:bookmarkEnd w:id="1927"/>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28" w:name="_Toc351203620"/>
      <w:bookmarkStart w:id="1929" w:name="_Toc532377413"/>
      <w:bookmarkStart w:id="1930" w:name="_Toc532375674"/>
      <w:bookmarkStart w:id="1931" w:name="_Toc296346641"/>
      <w:bookmarkStart w:id="1932" w:name="_Toc296503140"/>
      <w:bookmarkStart w:id="1933" w:name="_Toc337558835"/>
      <w:r>
        <w:rPr>
          <w:rFonts w:hint="eastAsia"/>
          <w:color w:val="auto"/>
          <w:kern w:val="2"/>
          <w:sz w:val="21"/>
          <w:szCs w:val="21"/>
          <w:highlight w:val="none"/>
        </w:rPr>
        <w:t>19. 索赔</w:t>
      </w:r>
      <w:bookmarkEnd w:id="1928"/>
      <w:bookmarkEnd w:id="1929"/>
      <w:bookmarkEnd w:id="1930"/>
    </w:p>
    <w:bookmarkEnd w:id="1931"/>
    <w:bookmarkEnd w:id="1932"/>
    <w:bookmarkEnd w:id="1933"/>
    <w:p>
      <w:pPr>
        <w:pStyle w:val="7"/>
        <w:spacing w:before="0" w:beforeAutospacing="0" w:after="0" w:afterAutospacing="0" w:line="360" w:lineRule="auto"/>
        <w:ind w:firstLine="422" w:firstLineChars="200"/>
        <w:rPr>
          <w:color w:val="auto"/>
          <w:sz w:val="21"/>
          <w:szCs w:val="21"/>
          <w:highlight w:val="none"/>
        </w:rPr>
      </w:pPr>
      <w:bookmarkStart w:id="1934" w:name="_Toc532375675"/>
      <w:bookmarkStart w:id="1935" w:name="_Toc532377414"/>
      <w:bookmarkStart w:id="1936" w:name="_Toc351203621"/>
      <w:bookmarkStart w:id="1937" w:name="_Toc337558836"/>
      <w:bookmarkStart w:id="1938" w:name="_Toc296346642"/>
      <w:bookmarkStart w:id="1939" w:name="_Toc296503141"/>
      <w:r>
        <w:rPr>
          <w:rFonts w:hint="eastAsia"/>
          <w:color w:val="auto"/>
          <w:sz w:val="21"/>
          <w:szCs w:val="21"/>
          <w:highlight w:val="none"/>
        </w:rPr>
        <w:t>19.1 承包人的索赔</w:t>
      </w:r>
      <w:bookmarkEnd w:id="1934"/>
      <w:bookmarkEnd w:id="1935"/>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40" w:name="_Toc532377415"/>
      <w:bookmarkStart w:id="1941" w:name="_Toc532375676"/>
      <w:r>
        <w:rPr>
          <w:rFonts w:hint="eastAsia"/>
          <w:color w:val="auto"/>
          <w:sz w:val="21"/>
          <w:szCs w:val="21"/>
          <w:highlight w:val="none"/>
        </w:rPr>
        <w:t>19.2 对承包人索赔的处理</w:t>
      </w:r>
      <w:bookmarkEnd w:id="1940"/>
      <w:bookmarkEnd w:id="1941"/>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42" w:name="_Toc532377416"/>
      <w:bookmarkStart w:id="1943" w:name="_Toc532375677"/>
      <w:r>
        <w:rPr>
          <w:rFonts w:hint="eastAsia"/>
          <w:color w:val="auto"/>
          <w:sz w:val="21"/>
          <w:szCs w:val="21"/>
          <w:highlight w:val="none"/>
        </w:rPr>
        <w:t>19.3发包人的索赔</w:t>
      </w:r>
      <w:bookmarkEnd w:id="1942"/>
      <w:bookmarkEnd w:id="1943"/>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944" w:name="_Hlk528652769"/>
      <w:r>
        <w:rPr>
          <w:rFonts w:hint="eastAsia" w:ascii="宋体" w:hAnsi="宋体"/>
          <w:color w:val="auto"/>
          <w:szCs w:val="21"/>
          <w:highlight w:val="none"/>
        </w:rPr>
        <w:t>通过监理人向承包人正式递交最终索赔报告</w:t>
      </w:r>
      <w:bookmarkEnd w:id="1944"/>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45" w:name="_Toc532375678"/>
      <w:bookmarkStart w:id="1946" w:name="_Toc532377417"/>
      <w:r>
        <w:rPr>
          <w:rFonts w:hint="eastAsia"/>
          <w:color w:val="auto"/>
          <w:sz w:val="21"/>
          <w:szCs w:val="21"/>
          <w:highlight w:val="none"/>
        </w:rPr>
        <w:t>19.4 对发包人索赔的处理</w:t>
      </w:r>
      <w:bookmarkEnd w:id="1945"/>
      <w:bookmarkEnd w:id="1946"/>
    </w:p>
    <w:p>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2" w:firstLineChars="200"/>
        <w:rPr>
          <w:color w:val="auto"/>
          <w:sz w:val="21"/>
          <w:szCs w:val="21"/>
          <w:highlight w:val="none"/>
        </w:rPr>
      </w:pPr>
      <w:bookmarkStart w:id="1947" w:name="_Toc532375679"/>
      <w:bookmarkStart w:id="1948" w:name="_Toc532377418"/>
      <w:bookmarkStart w:id="1949" w:name="_Hlk528928420"/>
      <w:r>
        <w:rPr>
          <w:rFonts w:hint="eastAsia"/>
          <w:color w:val="auto"/>
          <w:sz w:val="21"/>
          <w:szCs w:val="21"/>
          <w:highlight w:val="none"/>
        </w:rPr>
        <w:t>19.5 提出索赔的期限</w:t>
      </w:r>
      <w:bookmarkEnd w:id="1947"/>
      <w:bookmarkEnd w:id="1948"/>
    </w:p>
    <w:p>
      <w:pPr>
        <w:autoSpaceDE w:val="0"/>
        <w:autoSpaceDN w:val="0"/>
        <w:spacing w:line="360" w:lineRule="auto"/>
        <w:ind w:right="105" w:rightChars="50" w:firstLine="420" w:firstLineChars="200"/>
        <w:jc w:val="left"/>
        <w:rPr>
          <w:rFonts w:ascii="宋体" w:hAnsi="宋体"/>
          <w:color w:val="auto"/>
          <w:szCs w:val="21"/>
          <w:highlight w:val="none"/>
        </w:rPr>
      </w:pPr>
      <w:bookmarkStart w:id="1950"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936"/>
    <w:bookmarkEnd w:id="1937"/>
    <w:bookmarkEnd w:id="1938"/>
    <w:bookmarkEnd w:id="1939"/>
    <w:bookmarkEnd w:id="1949"/>
    <w:bookmarkEnd w:id="1950"/>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51" w:name="_Toc351203651"/>
      <w:bookmarkStart w:id="1952" w:name="_Toc532375680"/>
      <w:bookmarkStart w:id="1953" w:name="_Toc532377419"/>
      <w:r>
        <w:rPr>
          <w:rFonts w:hint="eastAsia"/>
          <w:color w:val="auto"/>
          <w:kern w:val="2"/>
          <w:sz w:val="21"/>
          <w:szCs w:val="21"/>
          <w:highlight w:val="none"/>
        </w:rPr>
        <w:t>20. 争议解决</w:t>
      </w:r>
      <w:bookmarkEnd w:id="1951"/>
      <w:bookmarkEnd w:id="1952"/>
      <w:bookmarkEnd w:id="1953"/>
    </w:p>
    <w:p>
      <w:pPr>
        <w:pStyle w:val="7"/>
        <w:spacing w:before="0" w:beforeAutospacing="0" w:after="0" w:afterAutospacing="0" w:line="360" w:lineRule="auto"/>
        <w:ind w:firstLine="422" w:firstLineChars="200"/>
        <w:rPr>
          <w:color w:val="auto"/>
          <w:sz w:val="21"/>
          <w:szCs w:val="21"/>
          <w:highlight w:val="none"/>
        </w:rPr>
      </w:pPr>
      <w:bookmarkStart w:id="1954" w:name="_Toc532375681"/>
      <w:bookmarkStart w:id="1955" w:name="_Toc532377420"/>
      <w:r>
        <w:rPr>
          <w:rFonts w:hint="eastAsia"/>
          <w:color w:val="auto"/>
          <w:sz w:val="21"/>
          <w:szCs w:val="21"/>
          <w:highlight w:val="none"/>
        </w:rPr>
        <w:t>20.3 争议评审</w:t>
      </w:r>
      <w:bookmarkEnd w:id="1954"/>
      <w:bookmarkEnd w:id="195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56" w:name="_Toc532377421"/>
      <w:bookmarkStart w:id="1957" w:name="_Toc532375682"/>
      <w:r>
        <w:rPr>
          <w:rFonts w:hint="eastAsia"/>
          <w:color w:val="auto"/>
          <w:sz w:val="21"/>
          <w:szCs w:val="21"/>
          <w:highlight w:val="none"/>
        </w:rPr>
        <w:t>20.4 仲裁或诉讼</w:t>
      </w:r>
      <w:bookmarkEnd w:id="1956"/>
      <w:bookmarkEnd w:id="1957"/>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ascii="宋体" w:hAnsi="宋体"/>
          <w:color w:val="auto"/>
          <w:szCs w:val="21"/>
          <w:highlight w:val="none"/>
        </w:rPr>
        <w:t>人民法院起诉。</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58" w:name="_Toc532377422"/>
      <w:bookmarkStart w:id="1959" w:name="_Toc532375683"/>
      <w:r>
        <w:rPr>
          <w:rFonts w:hint="eastAsia"/>
          <w:color w:val="auto"/>
          <w:kern w:val="2"/>
          <w:sz w:val="21"/>
          <w:szCs w:val="21"/>
          <w:highlight w:val="none"/>
        </w:rPr>
        <w:t>21. 补充条款</w:t>
      </w:r>
      <w:bookmarkEnd w:id="1958"/>
      <w:bookmarkEnd w:id="1959"/>
    </w:p>
    <w:p>
      <w:pPr>
        <w:pStyle w:val="7"/>
        <w:spacing w:before="0" w:beforeAutospacing="0" w:after="0" w:afterAutospacing="0" w:line="360" w:lineRule="auto"/>
        <w:ind w:firstLine="422" w:firstLineChars="200"/>
        <w:rPr>
          <w:color w:val="auto"/>
          <w:sz w:val="21"/>
          <w:szCs w:val="21"/>
          <w:highlight w:val="none"/>
        </w:rPr>
      </w:pPr>
      <w:bookmarkStart w:id="1960" w:name="_Toc532377423"/>
      <w:bookmarkStart w:id="1961" w:name="_Toc532375684"/>
      <w:r>
        <w:rPr>
          <w:rFonts w:hint="eastAsia"/>
          <w:color w:val="auto"/>
          <w:sz w:val="21"/>
          <w:szCs w:val="21"/>
          <w:highlight w:val="none"/>
        </w:rPr>
        <w:t>21.1 退出机制</w:t>
      </w:r>
      <w:bookmarkEnd w:id="1960"/>
      <w:bookmarkEnd w:id="1961"/>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21.1.1有下列情形之一的，发包人有权解除合同，亦有权兑付履约担保，并对承包人做清退出场处理</w:t>
      </w:r>
      <w:r>
        <w:rPr>
          <w:rFonts w:hint="eastAsia" w:ascii="宋体" w:hAnsi="宋体"/>
          <w:color w:val="auto"/>
          <w:kern w:val="0"/>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（1）因承包人原因造成较大及以上等级生产安全事故或工程质量事故的；</w:t>
      </w:r>
    </w:p>
    <w:p>
      <w:pPr>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（2）因承包人债权债务纠纷或其他纠纷导致工程无法正常施工的。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2"/>
        <w:spacing w:after="0" w:line="360" w:lineRule="auto"/>
        <w:ind w:firstLine="420" w:firstLineChars="200"/>
        <w:rPr>
          <w:rFonts w:ascii="宋体" w:hAnsi="宋体"/>
          <w:color w:val="auto"/>
          <w:szCs w:val="21"/>
          <w:highlight w:val="none"/>
        </w:rPr>
      </w:pPr>
      <w:r>
        <w:rPr>
          <w:rFonts w:hint="eastAsia" w:ascii="宋体" w:hAnsi="宋体"/>
          <w:color w:val="auto"/>
          <w:szCs w:val="21"/>
          <w:highlight w:val="none"/>
        </w:rPr>
        <w:t>21.1.2有下列情形之一的，承包人有权解除合同，并按16.1.4约定执行：</w:t>
      </w:r>
    </w:p>
    <w:p>
      <w:pPr>
        <w:pStyle w:val="2"/>
        <w:spacing w:after="0"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（1）因发包人征地、拆迁、补偿、审批手续等原因致使本工程延期开工超过90天的。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62" w:name="_Toc532377424"/>
      <w:bookmarkStart w:id="1963" w:name="_Toc532375685"/>
      <w:r>
        <w:rPr>
          <w:rFonts w:hint="eastAsia"/>
          <w:color w:val="auto"/>
          <w:sz w:val="21"/>
          <w:szCs w:val="21"/>
          <w:highlight w:val="none"/>
        </w:rPr>
        <w:t>21.2智慧工地</w:t>
      </w:r>
      <w:bookmarkEnd w:id="1962"/>
      <w:bookmarkEnd w:id="196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工地建设可参照重庆市城乡建设委员会《关于印发“智慧工地”建设工作方案的通知》（渝建〔2017〕414号）的相关要求建设。</w:t>
      </w:r>
      <w:bookmarkEnd w:id="1904"/>
    </w:p>
    <w:p>
      <w:pPr>
        <w:pStyle w:val="7"/>
        <w:spacing w:before="0" w:beforeAutospacing="0" w:after="0" w:afterAutospacing="0" w:line="360" w:lineRule="auto"/>
        <w:ind w:firstLine="422" w:firstLineChars="200"/>
        <w:rPr>
          <w:color w:val="auto"/>
          <w:sz w:val="21"/>
          <w:szCs w:val="21"/>
          <w:highlight w:val="none"/>
          <w:u w:val="single"/>
        </w:rPr>
      </w:pPr>
      <w:r>
        <w:rPr>
          <w:rFonts w:hint="eastAsia"/>
          <w:color w:val="auto"/>
          <w:sz w:val="21"/>
          <w:szCs w:val="21"/>
          <w:highlight w:val="none"/>
        </w:rPr>
        <w:t>21.3 低价风险担保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承包人提供低价风险担保的情形：采用经评审的最低投标价法的项目投标报价低于最高限价85%时。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承包人提供低价风险担保的形式、金额及期限：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（1）低价风险担保的形式：现金或银行保函或现金+银行保函的组合；采用保函形式的，保函必须为不可撤销、不可转让且见索即付的独立保函；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（2）低价风险担保的金额：</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（3）低价风险担保的提交时间：</w:t>
      </w:r>
      <w:r>
        <w:rPr>
          <w:rFonts w:hint="eastAsia"/>
          <w:color w:val="auto"/>
          <w:szCs w:val="21"/>
          <w:highlight w:val="none"/>
          <w:u w:val="single"/>
        </w:rPr>
        <w:t>从比选人中标通知书送达拟中标人之日起    工作日内</w:t>
      </w:r>
      <w:r>
        <w:rPr>
          <w:rFonts w:hint="eastAsia" w:ascii="宋体" w:hAnsi="宋体"/>
          <w:color w:val="auto"/>
          <w:szCs w:val="21"/>
          <w:highlight w:val="none"/>
          <w:u w:val="singl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（4）低价风险担保的期限：</w:t>
      </w:r>
      <w:r>
        <w:rPr>
          <w:rFonts w:hint="eastAsia"/>
          <w:color w:val="auto"/>
          <w:szCs w:val="21"/>
          <w:highlight w:val="none"/>
          <w:u w:val="single"/>
        </w:rPr>
        <w:t>自低价风险担保生效之日起至竣工验收合格之日止</w:t>
      </w:r>
      <w:r>
        <w:rPr>
          <w:rFonts w:hint="eastAsia" w:ascii="宋体" w:hAnsi="宋体"/>
          <w:color w:val="auto"/>
          <w:szCs w:val="21"/>
          <w:highlight w:val="none"/>
        </w:rPr>
        <w:t>。</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低价风险担保的退还时间：</w:t>
      </w:r>
      <w:r>
        <w:rPr>
          <w:rFonts w:hint="eastAsia" w:ascii="宋体" w:hAnsi="宋体"/>
          <w:color w:val="auto"/>
          <w:szCs w:val="21"/>
          <w:highlight w:val="none"/>
          <w:u w:val="single"/>
        </w:rPr>
        <w:t xml:space="preserve">采用现金担保的，工程竣工验收合格后14天内退还，合同履行期间允许承包人用符合要求的银行保函进行置换；采用银行保函的，工程竣工验收合格后14天内退还。采用分段退还的，低价风险担保的退还时间及方式为：        </w:t>
      </w:r>
      <w:r>
        <w:rPr>
          <w:rFonts w:hint="eastAsia" w:ascii="宋体" w:hAnsi="宋体"/>
          <w:color w:val="auto"/>
          <w:szCs w:val="21"/>
          <w:highlight w:val="none"/>
        </w:rPr>
        <w:t>。</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（5）低价风险担保的扣减：</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②承包人在工程施工期间或竣工验收时，工程质量不符合国家现行有关施工质量验收规范要求的，按低价风险担保金额的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③承包人因16.2.3项原因被解除合同的，低价风险担保将全额扣除；</w:t>
      </w:r>
    </w:p>
    <w:p>
      <w:pPr>
        <w:pStyle w:val="7"/>
        <w:spacing w:before="0" w:beforeAutospacing="0" w:after="0" w:afterAutospacing="0" w:line="360" w:lineRule="auto"/>
        <w:ind w:firstLine="400" w:firstLineChars="200"/>
        <w:rPr>
          <w:color w:val="auto"/>
          <w:sz w:val="21"/>
          <w:szCs w:val="21"/>
          <w:highlight w:val="none"/>
        </w:rPr>
      </w:pPr>
      <w:r>
        <w:rPr>
          <w:rFonts w:hint="eastAsia"/>
          <w:b w:val="0"/>
          <w:bCs w:val="0"/>
          <w:color w:val="auto"/>
          <w:szCs w:val="21"/>
          <w:highlight w:val="none"/>
        </w:rPr>
        <w:t>④因承包人过错导致的其他情形：</w:t>
      </w:r>
      <w:r>
        <w:rPr>
          <w:rFonts w:hint="eastAsia"/>
          <w:b w:val="0"/>
          <w:bCs w:val="0"/>
          <w:color w:val="auto"/>
          <w:szCs w:val="21"/>
          <w:highlight w:val="none"/>
          <w:u w:val="single"/>
        </w:rPr>
        <w:t xml:space="preserve">        </w:t>
      </w:r>
      <w:r>
        <w:rPr>
          <w:rFonts w:hint="eastAsia"/>
          <w:b w:val="0"/>
          <w:bCs w:val="0"/>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u w:val="single"/>
        </w:rPr>
      </w:pPr>
      <w:r>
        <w:rPr>
          <w:rFonts w:hint="eastAsia"/>
          <w:color w:val="auto"/>
          <w:sz w:val="21"/>
          <w:szCs w:val="21"/>
          <w:highlight w:val="none"/>
        </w:rPr>
        <w:t>21.4 关于不平衡报价的约定：</w:t>
      </w:r>
      <w:r>
        <w:rPr>
          <w:rFonts w:hint="eastAsia"/>
          <w:color w:val="auto"/>
          <w:sz w:val="21"/>
          <w:szCs w:val="21"/>
          <w:highlight w:val="none"/>
          <w:u w:val="single"/>
        </w:rPr>
        <w:t xml:space="preserve">       </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 xml:space="preserve">21.5 </w:t>
      </w:r>
      <w:r>
        <w:rPr>
          <w:rFonts w:hint="eastAsia"/>
          <w:color w:val="auto"/>
          <w:sz w:val="21"/>
          <w:szCs w:val="21"/>
          <w:highlight w:val="none"/>
          <w:u w:val="single"/>
        </w:rPr>
        <w:t xml:space="preserve">       </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64" w:name="baidusnap7"/>
      <w:bookmarkEnd w:id="1964"/>
      <w:bookmarkStart w:id="1965" w:name="baidusnap3"/>
      <w:bookmarkEnd w:id="1965"/>
      <w:bookmarkStart w:id="1966" w:name="_Toc532375686"/>
      <w:bookmarkStart w:id="1967" w:name="_Toc532377425"/>
      <w:bookmarkStart w:id="1968" w:name="_Toc351203652"/>
      <w:r>
        <w:rPr>
          <w:rFonts w:hint="eastAsia"/>
          <w:color w:val="auto"/>
          <w:kern w:val="2"/>
          <w:sz w:val="21"/>
          <w:szCs w:val="21"/>
          <w:highlight w:val="none"/>
        </w:rPr>
        <w:t>22. 合同附件</w:t>
      </w:r>
      <w:bookmarkEnd w:id="1966"/>
      <w:bookmarkEnd w:id="1967"/>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以下十一个附件是本合同的有效组成部分：</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附件1：工程质量保修书</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附件2：主要建设工程文件目录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附件3：承包人项目管理机构组成表</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附件4：履约担保（如有）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5</w:t>
      </w:r>
      <w:r>
        <w:rPr>
          <w:rFonts w:hint="eastAsia" w:ascii="宋体" w:hAnsi="宋体"/>
          <w:color w:val="auto"/>
          <w:szCs w:val="21"/>
          <w:highlight w:val="none"/>
        </w:rPr>
        <w:t>：预付款担保（如有）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6</w:t>
      </w:r>
      <w:r>
        <w:rPr>
          <w:rFonts w:hint="eastAsia" w:ascii="宋体" w:hAnsi="宋体"/>
          <w:color w:val="auto"/>
          <w:szCs w:val="21"/>
          <w:highlight w:val="none"/>
        </w:rPr>
        <w:t>：支付担保（如有）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：专业工程暂估价表</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：廉洁从业协议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：安全管理协议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：保障农民工工资支付协议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bookmarkEnd w:id="1968"/>
    <w:p>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69" w:name="_Toc296503226"/>
      <w:bookmarkStart w:id="1970" w:name="_Toc267261693"/>
      <w:bookmarkStart w:id="1971" w:name="_Toc296891054"/>
      <w:bookmarkStart w:id="1972" w:name="_Toc296891266"/>
      <w:bookmarkStart w:id="1973" w:name="_Toc296347225"/>
      <w:bookmarkStart w:id="1974" w:name="_Toc296346727"/>
      <w:bookmarkStart w:id="1975" w:name="_Toc296944565"/>
      <w:r>
        <w:rPr>
          <w:rFonts w:hint="eastAsia" w:ascii="宋体" w:hAnsi="宋体"/>
          <w:color w:val="auto"/>
          <w:szCs w:val="21"/>
          <w:highlight w:val="none"/>
        </w:rPr>
        <w:t>件1：</w:t>
      </w:r>
      <w:bookmarkEnd w:id="1969"/>
      <w:bookmarkEnd w:id="1970"/>
      <w:bookmarkEnd w:id="1971"/>
      <w:bookmarkEnd w:id="1972"/>
      <w:bookmarkEnd w:id="1973"/>
      <w:bookmarkEnd w:id="1974"/>
      <w:bookmarkEnd w:id="1975"/>
    </w:p>
    <w:p>
      <w:pPr>
        <w:spacing w:before="156" w:beforeLines="50" w:after="156" w:afterLines="50" w:line="360" w:lineRule="auto"/>
        <w:jc w:val="center"/>
        <w:rPr>
          <w:rFonts w:ascii="宋体" w:hAnsi="宋体"/>
          <w:color w:val="auto"/>
          <w:szCs w:val="21"/>
          <w:highlight w:val="none"/>
        </w:rPr>
      </w:pPr>
      <w:r>
        <w:rPr>
          <w:rFonts w:hint="eastAsia" w:ascii="宋体" w:hAnsi="宋体"/>
          <w:color w:val="auto"/>
          <w:szCs w:val="21"/>
          <w:highlight w:val="none"/>
        </w:rPr>
        <w:t>工程质量保修书</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pPr>
        <w:spacing w:line="360" w:lineRule="auto"/>
        <w:ind w:firstLine="420" w:firstLineChars="200"/>
        <w:rPr>
          <w:rFonts w:ascii="宋体" w:hAnsi="宋体"/>
          <w:color w:val="auto"/>
          <w:szCs w:val="21"/>
          <w:highlight w:val="none"/>
        </w:rPr>
      </w:pPr>
      <w:bookmarkStart w:id="1976" w:name="_Toc532375687"/>
      <w:r>
        <w:rPr>
          <w:rFonts w:hint="eastAsia" w:ascii="宋体" w:hAnsi="宋体"/>
          <w:color w:val="auto"/>
          <w:szCs w:val="21"/>
          <w:highlight w:val="none"/>
        </w:rPr>
        <w:t>一、工程质量保修范围和内容</w:t>
      </w:r>
      <w:bookmarkEnd w:id="197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pPr>
        <w:spacing w:line="360" w:lineRule="auto"/>
        <w:ind w:firstLine="420" w:firstLineChars="200"/>
        <w:rPr>
          <w:rFonts w:ascii="宋体" w:hAnsi="宋体"/>
          <w:color w:val="auto"/>
          <w:szCs w:val="21"/>
          <w:highlight w:val="none"/>
        </w:rPr>
      </w:pPr>
      <w:bookmarkStart w:id="1977" w:name="_Toc532375688"/>
      <w:r>
        <w:rPr>
          <w:rFonts w:hint="eastAsia" w:ascii="宋体" w:hAnsi="宋体"/>
          <w:color w:val="auto"/>
          <w:szCs w:val="21"/>
          <w:highlight w:val="none"/>
        </w:rPr>
        <w:t>二、质量保修期</w:t>
      </w:r>
      <w:bookmarkEnd w:id="197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3.供热与供冷系统，为2个采暖期、供冷期；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5.其他项目保修期限：2年；</w:t>
      </w:r>
      <w:r>
        <w:rPr>
          <w:rFonts w:hint="eastAsia" w:ascii="宋体" w:hAnsi="宋体"/>
          <w:i/>
          <w:color w:val="auto"/>
          <w:szCs w:val="21"/>
          <w:highlight w:val="none"/>
        </w:rPr>
        <w:t>[提示：如有不同，根据具体情况修改]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pPr>
        <w:spacing w:line="360" w:lineRule="auto"/>
        <w:ind w:firstLine="420" w:firstLineChars="200"/>
        <w:rPr>
          <w:rFonts w:ascii="宋体" w:hAnsi="宋体"/>
          <w:color w:val="auto"/>
          <w:szCs w:val="21"/>
          <w:highlight w:val="none"/>
        </w:rPr>
      </w:pPr>
      <w:bookmarkStart w:id="1978" w:name="_Toc532375689"/>
      <w:r>
        <w:rPr>
          <w:rFonts w:hint="eastAsia" w:ascii="宋体" w:hAnsi="宋体"/>
          <w:color w:val="auto"/>
          <w:szCs w:val="21"/>
          <w:highlight w:val="none"/>
        </w:rPr>
        <w:t>三、质量保修责任</w:t>
      </w:r>
      <w:bookmarkEnd w:id="197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pPr>
        <w:spacing w:line="360" w:lineRule="auto"/>
        <w:ind w:firstLine="420" w:firstLineChars="200"/>
        <w:rPr>
          <w:rFonts w:ascii="宋体" w:hAnsi="宋体"/>
          <w:color w:val="auto"/>
          <w:szCs w:val="21"/>
          <w:highlight w:val="none"/>
        </w:rPr>
      </w:pPr>
      <w:bookmarkStart w:id="1979" w:name="_Toc532375690"/>
      <w:r>
        <w:rPr>
          <w:rFonts w:hint="eastAsia" w:ascii="宋体" w:hAnsi="宋体"/>
          <w:color w:val="auto"/>
          <w:szCs w:val="21"/>
          <w:highlight w:val="none"/>
        </w:rPr>
        <w:t>四、保修费用</w:t>
      </w:r>
      <w:bookmarkEnd w:id="197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保修费用由质量缺陷的责任方承担。</w:t>
      </w:r>
    </w:p>
    <w:p>
      <w:pPr>
        <w:spacing w:line="360" w:lineRule="auto"/>
        <w:ind w:firstLine="420" w:firstLineChars="200"/>
        <w:rPr>
          <w:rFonts w:ascii="宋体" w:hAnsi="宋体"/>
          <w:color w:val="auto"/>
          <w:szCs w:val="21"/>
          <w:highlight w:val="none"/>
        </w:rPr>
      </w:pPr>
      <w:bookmarkStart w:id="1980" w:name="_Toc532375691"/>
      <w:r>
        <w:rPr>
          <w:rFonts w:hint="eastAsia" w:ascii="宋体" w:hAnsi="宋体"/>
          <w:color w:val="auto"/>
          <w:szCs w:val="21"/>
          <w:highlight w:val="none"/>
        </w:rPr>
        <w:t>五、双方约定的其他工程质量保修事项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198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六、本文件生效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pPr>
        <w:pStyle w:val="2"/>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pPr>
        <w:spacing w:line="360" w:lineRule="auto"/>
        <w:ind w:firstLine="418" w:firstLineChars="200"/>
        <w:rPr>
          <w:rFonts w:ascii="宋体" w:hAnsi="宋体"/>
          <w:snapToGrid w:val="0"/>
          <w:color w:val="auto"/>
          <w:spacing w:val="1"/>
          <w:w w:val="99"/>
          <w:kern w:val="0"/>
          <w:position w:val="-2"/>
          <w:szCs w:val="21"/>
          <w:highlight w:val="none"/>
        </w:rPr>
      </w:pPr>
    </w:p>
    <w:p>
      <w:pPr>
        <w:spacing w:line="360" w:lineRule="auto"/>
        <w:ind w:firstLine="418" w:firstLineChars="200"/>
        <w:rPr>
          <w:rFonts w:ascii="宋体" w:hAnsi="宋体"/>
          <w:snapToGrid w:val="0"/>
          <w:color w:val="auto"/>
          <w:spacing w:val="1"/>
          <w:w w:val="99"/>
          <w:kern w:val="0"/>
          <w:position w:val="-2"/>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文件名称</w:t>
            </w:r>
          </w:p>
        </w:tc>
        <w:tc>
          <w:tcPr>
            <w:tcW w:w="1418"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套数</w:t>
            </w:r>
          </w:p>
        </w:tc>
        <w:tc>
          <w:tcPr>
            <w:tcW w:w="1418"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2917"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bl>
    <w:p>
      <w:pPr>
        <w:spacing w:line="360" w:lineRule="auto"/>
        <w:ind w:firstLine="420" w:firstLineChars="200"/>
        <w:rPr>
          <w:rFonts w:ascii="宋体" w:hAnsi="宋体"/>
          <w:color w:val="auto"/>
          <w:szCs w:val="21"/>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81" w:name="_Toc296346729"/>
      <w:bookmarkStart w:id="1982" w:name="_Toc296347227"/>
      <w:bookmarkStart w:id="1983" w:name="_Toc296891268"/>
      <w:bookmarkStart w:id="1984" w:name="_Toc296891056"/>
      <w:bookmarkStart w:id="1985" w:name="_Toc296944567"/>
      <w:bookmarkStart w:id="1986" w:name="_Toc296503228"/>
      <w:bookmarkStart w:id="1987" w:name="_Toc267261699"/>
      <w:r>
        <w:rPr>
          <w:rFonts w:hint="eastAsia" w:ascii="宋体" w:hAnsi="宋体"/>
          <w:color w:val="auto"/>
          <w:szCs w:val="21"/>
          <w:highlight w:val="none"/>
        </w:rPr>
        <w:t>件3：</w:t>
      </w:r>
    </w:p>
    <w:bookmarkEnd w:id="1981"/>
    <w:bookmarkEnd w:id="1982"/>
    <w:bookmarkEnd w:id="1983"/>
    <w:bookmarkEnd w:id="1984"/>
    <w:bookmarkEnd w:id="1985"/>
    <w:bookmarkEnd w:id="1986"/>
    <w:bookmarkEnd w:id="1987"/>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bl>
    <w:p>
      <w:pPr>
        <w:spacing w:line="480" w:lineRule="auto"/>
        <w:rPr>
          <w:rFonts w:ascii="宋体" w:hAnsi="宋体"/>
          <w:color w:val="auto"/>
          <w:szCs w:val="21"/>
          <w:highlight w:val="none"/>
        </w:rPr>
      </w:pPr>
      <w:r>
        <w:rPr>
          <w:rFonts w:hint="eastAsia" w:ascii="宋体" w:hAnsi="宋体"/>
          <w:color w:val="auto"/>
          <w:szCs w:val="21"/>
          <w:highlight w:val="none"/>
        </w:rPr>
        <w:br w:type="page"/>
      </w:r>
      <w:bookmarkStart w:id="1988" w:name="_Toc267261701"/>
      <w:r>
        <w:rPr>
          <w:rFonts w:hint="eastAsia" w:ascii="宋体" w:hAnsi="宋体"/>
          <w:color w:val="auto"/>
          <w:szCs w:val="21"/>
          <w:highlight w:val="none"/>
        </w:rPr>
        <w:t>附</w:t>
      </w:r>
      <w:bookmarkStart w:id="1989" w:name="_Toc296891271"/>
      <w:bookmarkStart w:id="1990" w:name="_Toc296503231"/>
      <w:bookmarkStart w:id="1991" w:name="_Toc296944570"/>
      <w:bookmarkStart w:id="1992" w:name="_Toc296346732"/>
      <w:bookmarkStart w:id="1993" w:name="_Toc296891059"/>
      <w:bookmarkStart w:id="1994" w:name="_Toc296347230"/>
      <w:r>
        <w:rPr>
          <w:rFonts w:hint="eastAsia" w:ascii="宋体" w:hAnsi="宋体"/>
          <w:color w:val="auto"/>
          <w:szCs w:val="21"/>
          <w:highlight w:val="none"/>
        </w:rPr>
        <w:t>件4：</w:t>
      </w:r>
    </w:p>
    <w:bookmarkEnd w:id="1988"/>
    <w:bookmarkEnd w:id="1989"/>
    <w:bookmarkEnd w:id="1990"/>
    <w:bookmarkEnd w:id="1991"/>
    <w:bookmarkEnd w:id="1992"/>
    <w:bookmarkEnd w:id="1993"/>
    <w:bookmarkEnd w:id="1994"/>
    <w:p>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履约担保（如有）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日就</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（工程名称）施工及有关事项协商一致共同签订《建设工程施工合同》。我方愿意无条件地、不可撤销地就承包人履行与你方签订的合同，向你方提供连带责任担保。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w:t>
      </w:r>
      <w:r>
        <w:rPr>
          <w:rFonts w:hint="eastAsia" w:ascii="宋体" w:hAnsi="宋体"/>
          <w:color w:val="auto"/>
          <w:szCs w:val="21"/>
          <w:highlight w:val="none"/>
          <w:u w:val="single"/>
        </w:rPr>
        <w:t>自</w:t>
      </w:r>
      <w:r>
        <w:rPr>
          <w:rStyle w:val="60"/>
          <w:rFonts w:hint="eastAsia"/>
          <w:color w:val="auto"/>
          <w:highlight w:val="none"/>
          <w:u w:val="single"/>
        </w:rPr>
        <w:t>我</w:t>
      </w:r>
      <w:r>
        <w:rPr>
          <w:rFonts w:hint="eastAsia" w:ascii="宋体" w:hAnsi="宋体"/>
          <w:color w:val="auto"/>
          <w:szCs w:val="21"/>
          <w:highlight w:val="none"/>
          <w:u w:val="single"/>
        </w:rPr>
        <w:t>方法定代表人（或其委托代理人）签名并加盖单位公章之日起至你方签发或应签发工程接收证书之日止</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你方和承包人按合同约定变更合同时，我方承担本担保规定的义务不变。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本保函自我方法定代表人（或其委托代理人）签名并加盖单位公章之日起生效。</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u w:val="single"/>
        </w:rPr>
      </w:pPr>
    </w:p>
    <w:p>
      <w:pPr>
        <w:spacing w:line="360" w:lineRule="auto"/>
        <w:ind w:firstLine="420" w:firstLineChars="200"/>
        <w:jc w:val="left"/>
        <w:rPr>
          <w:rFonts w:ascii="宋体" w:hAnsi="宋体"/>
          <w:color w:val="auto"/>
          <w:szCs w:val="21"/>
          <w:highlight w:val="none"/>
          <w:u w:val="singl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widowControl/>
        <w:spacing w:line="360" w:lineRule="auto"/>
        <w:jc w:val="left"/>
        <w:rPr>
          <w:rFonts w:ascii="宋体" w:hAnsi="宋体"/>
          <w:color w:val="auto"/>
          <w:szCs w:val="21"/>
          <w:highlight w:val="none"/>
        </w:rPr>
      </w:pPr>
      <w:r>
        <w:rPr>
          <w:rFonts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w:t>
      </w:r>
      <w:bookmarkStart w:id="1995" w:name="_Toc296891060"/>
      <w:bookmarkStart w:id="1996" w:name="_Toc296346733"/>
      <w:bookmarkStart w:id="1997" w:name="_Toc296503232"/>
      <w:bookmarkStart w:id="1998" w:name="_Toc267261702"/>
      <w:bookmarkStart w:id="1999" w:name="_Toc296944571"/>
      <w:bookmarkStart w:id="2000" w:name="_Toc296891272"/>
      <w:bookmarkStart w:id="2001" w:name="_Toc296347231"/>
      <w:r>
        <w:rPr>
          <w:rFonts w:hint="eastAsia" w:ascii="宋体" w:hAnsi="宋体"/>
          <w:color w:val="auto"/>
          <w:szCs w:val="21"/>
          <w:highlight w:val="none"/>
        </w:rPr>
        <w:t>件</w:t>
      </w:r>
      <w:r>
        <w:rPr>
          <w:rFonts w:ascii="宋体" w:hAnsi="宋体"/>
          <w:color w:val="auto"/>
          <w:szCs w:val="21"/>
          <w:highlight w:val="none"/>
        </w:rPr>
        <w:t>5</w:t>
      </w:r>
      <w:r>
        <w:rPr>
          <w:rFonts w:hint="eastAsia" w:ascii="宋体" w:hAnsi="宋体"/>
          <w:color w:val="auto"/>
          <w:szCs w:val="21"/>
          <w:highlight w:val="none"/>
        </w:rPr>
        <w:t>：</w:t>
      </w:r>
    </w:p>
    <w:bookmarkEnd w:id="1995"/>
    <w:bookmarkEnd w:id="1996"/>
    <w:bookmarkEnd w:id="1997"/>
    <w:bookmarkEnd w:id="1998"/>
    <w:bookmarkEnd w:id="1999"/>
    <w:bookmarkEnd w:id="2000"/>
    <w:bookmarkEnd w:id="2001"/>
    <w:p>
      <w:pPr>
        <w:spacing w:line="360" w:lineRule="auto"/>
        <w:jc w:val="center"/>
        <w:rPr>
          <w:rFonts w:ascii="宋体" w:hAnsi="宋体"/>
          <w:color w:val="auto"/>
          <w:szCs w:val="21"/>
          <w:highlight w:val="none"/>
        </w:rPr>
      </w:pPr>
      <w:r>
        <w:rPr>
          <w:rFonts w:hint="eastAsia" w:ascii="宋体" w:hAnsi="宋体"/>
          <w:color w:val="auto"/>
          <w:szCs w:val="21"/>
          <w:highlight w:val="none"/>
        </w:rPr>
        <w:t>预付款担保（如有）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担保有效期自预付款支付给承包人起生效，至你方签发的进度款支付证书说明已完全扣清止。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你方和承包人按合同约定变更合同时，我方承担本保函规定的义务不变。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本保函自我方法定代表人（或其委托代理人）签名并加盖单位公章之日起生效。</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传    真：</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p>
    <w:p>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2002" w:name="_Toc296891061"/>
      <w:bookmarkStart w:id="2003" w:name="_Toc296347232"/>
      <w:bookmarkStart w:id="2004" w:name="_Toc296944572"/>
      <w:bookmarkStart w:id="2005" w:name="_Toc296346734"/>
      <w:bookmarkStart w:id="2006" w:name="_Toc296891273"/>
      <w:bookmarkStart w:id="2007" w:name="_Toc296503233"/>
      <w:r>
        <w:rPr>
          <w:rFonts w:hint="eastAsia" w:ascii="宋体" w:hAnsi="宋体"/>
          <w:color w:val="auto"/>
          <w:szCs w:val="21"/>
          <w:highlight w:val="none"/>
        </w:rPr>
        <w:t>件</w:t>
      </w:r>
      <w:r>
        <w:rPr>
          <w:rFonts w:ascii="宋体" w:hAnsi="宋体"/>
          <w:color w:val="auto"/>
          <w:szCs w:val="21"/>
          <w:highlight w:val="none"/>
        </w:rPr>
        <w:t>6</w:t>
      </w:r>
      <w:r>
        <w:rPr>
          <w:rFonts w:hint="eastAsia" w:ascii="宋体" w:hAnsi="宋体"/>
          <w:color w:val="auto"/>
          <w:szCs w:val="21"/>
          <w:highlight w:val="none"/>
        </w:rPr>
        <w:t>：</w:t>
      </w:r>
    </w:p>
    <w:bookmarkEnd w:id="2002"/>
    <w:bookmarkEnd w:id="2003"/>
    <w:bookmarkEnd w:id="2004"/>
    <w:bookmarkEnd w:id="2005"/>
    <w:bookmarkEnd w:id="2006"/>
    <w:bookmarkEnd w:id="2007"/>
    <w:p>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支付担保（如有）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（承包人）：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鉴于你方作为承包人已经与 </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日签订了</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rPr>
          <w:rFonts w:ascii="宋体" w:hAnsi="宋体"/>
          <w:color w:val="auto"/>
          <w:szCs w:val="21"/>
          <w:highlight w:val="none"/>
        </w:rPr>
      </w:pPr>
      <w:bookmarkStart w:id="2008" w:name="_Toc532375692"/>
      <w:r>
        <w:rPr>
          <w:rFonts w:hint="eastAsia" w:ascii="宋体" w:hAnsi="宋体"/>
          <w:color w:val="auto"/>
          <w:szCs w:val="21"/>
          <w:highlight w:val="none"/>
        </w:rPr>
        <w:t>一、保证的范围及保证金额</w:t>
      </w:r>
      <w:bookmarkEnd w:id="200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我方的保证范围是主合同约定的工程款。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本保函所称主合同约定的工程款是指主合同约定的除工程质量保证金以外的合同价款。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我方保证的金额是主合同约定的工程款的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%，数额最高不超过人民币元（大写：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bookmarkStart w:id="2009" w:name="_Toc532375693"/>
      <w:r>
        <w:rPr>
          <w:rFonts w:hint="eastAsia" w:ascii="宋体" w:hAnsi="宋体"/>
          <w:color w:val="auto"/>
          <w:szCs w:val="21"/>
          <w:highlight w:val="none"/>
        </w:rPr>
        <w:t>二、保证的方式及保证期间</w:t>
      </w:r>
      <w:bookmarkEnd w:id="200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我方保证的方式为：连带责任保证。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我方保证的期间为：自合同生效之日起至主合同约定的工程款支付完毕之日后</w:t>
      </w:r>
      <w:r>
        <w:rPr>
          <w:rFonts w:hint="eastAsia" w:ascii="宋体" w:hAnsi="宋体"/>
          <w:color w:val="auto"/>
          <w:szCs w:val="21"/>
          <w:highlight w:val="none"/>
          <w:u w:val="single"/>
        </w:rPr>
        <w:t xml:space="preserve">    </w:t>
      </w:r>
      <w:r>
        <w:rPr>
          <w:rFonts w:hint="eastAsia" w:ascii="宋体" w:hAnsi="宋体"/>
          <w:color w:val="auto"/>
          <w:szCs w:val="21"/>
          <w:highlight w:val="none"/>
        </w:rPr>
        <w:t>日内。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你方与发包人协议变更工程款支付日期的，经我方书面同意后，保证期间按照变更后的支付日期做相应调整。</w:t>
      </w:r>
    </w:p>
    <w:p>
      <w:pPr>
        <w:spacing w:line="360" w:lineRule="auto"/>
        <w:ind w:firstLine="420" w:firstLineChars="200"/>
        <w:rPr>
          <w:rFonts w:ascii="宋体" w:hAnsi="宋体"/>
          <w:color w:val="auto"/>
          <w:szCs w:val="21"/>
          <w:highlight w:val="none"/>
        </w:rPr>
      </w:pPr>
      <w:bookmarkStart w:id="2010" w:name="_Toc532375694"/>
      <w:r>
        <w:rPr>
          <w:rFonts w:hint="eastAsia" w:ascii="宋体" w:hAnsi="宋体"/>
          <w:color w:val="auto"/>
          <w:szCs w:val="21"/>
          <w:highlight w:val="none"/>
        </w:rPr>
        <w:t>三、承担保证责任的形式</w:t>
      </w:r>
      <w:bookmarkEnd w:id="201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我方承担保证责任的形式是代为支付。发包人未按主合同约定向你方支付工程款的，由我方在保证金额内代为支付。</w:t>
      </w:r>
    </w:p>
    <w:p>
      <w:pPr>
        <w:spacing w:line="360" w:lineRule="auto"/>
        <w:ind w:firstLine="420" w:firstLineChars="200"/>
        <w:rPr>
          <w:rFonts w:ascii="宋体" w:hAnsi="宋体"/>
          <w:color w:val="auto"/>
          <w:szCs w:val="21"/>
          <w:highlight w:val="none"/>
        </w:rPr>
      </w:pPr>
      <w:bookmarkStart w:id="2011" w:name="_Toc532375695"/>
      <w:r>
        <w:rPr>
          <w:rFonts w:hint="eastAsia" w:ascii="宋体" w:hAnsi="宋体"/>
          <w:color w:val="auto"/>
          <w:szCs w:val="21"/>
          <w:highlight w:val="none"/>
        </w:rPr>
        <w:t>四、代偿的安排</w:t>
      </w:r>
      <w:bookmarkEnd w:id="201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我方收到你方的书面索赔通知及相应的证明材料后７天内无条件支付。</w:t>
      </w:r>
    </w:p>
    <w:p>
      <w:pPr>
        <w:spacing w:line="360" w:lineRule="auto"/>
        <w:ind w:firstLine="420" w:firstLineChars="200"/>
        <w:rPr>
          <w:rFonts w:ascii="宋体" w:hAnsi="宋体"/>
          <w:color w:val="auto"/>
          <w:szCs w:val="21"/>
          <w:highlight w:val="none"/>
        </w:rPr>
      </w:pPr>
      <w:bookmarkStart w:id="2012" w:name="_Toc532375696"/>
      <w:r>
        <w:rPr>
          <w:rFonts w:hint="eastAsia" w:ascii="宋体" w:hAnsi="宋体"/>
          <w:color w:val="auto"/>
          <w:szCs w:val="21"/>
          <w:highlight w:val="none"/>
        </w:rPr>
        <w:t>五、保证责任的解除</w:t>
      </w:r>
      <w:bookmarkEnd w:id="201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在本保函承诺的保证期间内，你方未书面向我方主张保证责任的，自保证期间届满次日起，我方保证责任解除。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发包人按主合同约定履行了工程款的全部支付义务的，自本保函承诺的保证期间届满次日起，我方保证责任解除。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我方按照本保函向你方履行保证责任所支付金额达到本保函保证金额时，自我方向你方支付（支付款项从我方账户划出）之日起，保证责任即解除。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按照法律法规的规定或出现应解除我方保证责任的其他情形的，我方在本保函项下的保证责任亦解除。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我方解除保证责任后，你方应自我方保证责任解除之日起  个工作日内，将本保函原件返还我方。</w:t>
      </w:r>
    </w:p>
    <w:p>
      <w:pPr>
        <w:spacing w:line="360" w:lineRule="auto"/>
        <w:ind w:firstLine="420" w:firstLineChars="200"/>
        <w:rPr>
          <w:rFonts w:ascii="宋体" w:hAnsi="宋体"/>
          <w:color w:val="auto"/>
          <w:szCs w:val="21"/>
          <w:highlight w:val="none"/>
        </w:rPr>
      </w:pPr>
      <w:bookmarkStart w:id="2013" w:name="_Toc532375697"/>
      <w:r>
        <w:rPr>
          <w:rFonts w:hint="eastAsia" w:ascii="宋体" w:hAnsi="宋体"/>
          <w:color w:val="auto"/>
          <w:szCs w:val="21"/>
          <w:highlight w:val="none"/>
        </w:rPr>
        <w:t>六、免责条款</w:t>
      </w:r>
      <w:bookmarkEnd w:id="201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因你方违约致使发包人不能履行义务的，我方不承担保证责任。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依照法律法规的规定或你方与发包人的另行约定，免除发包人部分或全部义务的，我方亦免除其相应的保证责任。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因不可抗力造成发包人不能履行义务的，我方不承担保证责任。</w:t>
      </w:r>
    </w:p>
    <w:p>
      <w:pPr>
        <w:spacing w:line="360" w:lineRule="auto"/>
        <w:ind w:firstLine="420" w:firstLineChars="200"/>
        <w:rPr>
          <w:rFonts w:ascii="宋体" w:hAnsi="宋体"/>
          <w:color w:val="auto"/>
          <w:szCs w:val="21"/>
          <w:highlight w:val="none"/>
        </w:rPr>
      </w:pPr>
      <w:bookmarkStart w:id="2014" w:name="_Toc532375698"/>
      <w:r>
        <w:rPr>
          <w:rFonts w:hint="eastAsia" w:ascii="宋体" w:hAnsi="宋体"/>
          <w:color w:val="auto"/>
          <w:szCs w:val="21"/>
          <w:highlight w:val="none"/>
        </w:rPr>
        <w:t>七、争议解决</w:t>
      </w:r>
      <w:bookmarkEnd w:id="201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因本保函或本保函相关事项发生的纠纷，可由双方协商解决，协商不成的，按下列第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bookmarkStart w:id="2015" w:name="_Toc532375699"/>
      <w:r>
        <w:rPr>
          <w:rFonts w:hint="eastAsia" w:ascii="宋体" w:hAnsi="宋体"/>
          <w:color w:val="auto"/>
          <w:szCs w:val="21"/>
          <w:highlight w:val="none"/>
        </w:rPr>
        <w:t>八、保函的生效</w:t>
      </w:r>
      <w:bookmarkEnd w:id="201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本保函自我方法定代表人（或其委托代理人）签名并加盖单位公章之日起生效。</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专业工程暂估价表</w:t>
      </w:r>
    </w:p>
    <w:tbl>
      <w:tblPr>
        <w:tblStyle w:val="46"/>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984"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专业工程名称</w:t>
            </w:r>
          </w:p>
        </w:tc>
        <w:tc>
          <w:tcPr>
            <w:tcW w:w="5103"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工程内容</w:t>
            </w:r>
          </w:p>
        </w:tc>
        <w:tc>
          <w:tcPr>
            <w:tcW w:w="1560"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小计：</w:t>
            </w:r>
          </w:p>
        </w:tc>
      </w:tr>
    </w:tbl>
    <w:p>
      <w:pPr>
        <w:spacing w:line="360" w:lineRule="auto"/>
        <w:ind w:firstLine="420" w:firstLineChars="200"/>
        <w:rPr>
          <w:rFonts w:ascii="宋体" w:hAnsi="宋体"/>
          <w:color w:val="auto"/>
          <w:szCs w:val="21"/>
          <w:highlight w:val="none"/>
        </w:rPr>
      </w:pPr>
    </w:p>
    <w:p>
      <w:pPr>
        <w:pStyle w:val="2"/>
        <w:spacing w:line="360" w:lineRule="auto"/>
        <w:rPr>
          <w:rFonts w:ascii="宋体" w:hAnsi="宋体"/>
          <w:color w:val="auto"/>
          <w:szCs w:val="21"/>
          <w:highlight w:val="none"/>
        </w:rPr>
      </w:pPr>
    </w:p>
    <w:p>
      <w:pPr>
        <w:spacing w:line="480" w:lineRule="auto"/>
        <w:ind w:firstLine="420" w:firstLineChars="200"/>
        <w:rPr>
          <w:rFonts w:ascii="宋体" w:hAnsi="宋体"/>
          <w:color w:val="auto"/>
          <w:szCs w:val="21"/>
          <w:highlight w:val="none"/>
        </w:rPr>
      </w:pPr>
      <w:r>
        <w:rPr>
          <w:rFonts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发包人承包人的权利和义务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pPr>
        <w:pStyle w:val="65"/>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 xml:space="preserve">     </w:t>
      </w:r>
      <w:r>
        <w:rPr>
          <w:rFonts w:hint="eastAsia" w:ascii="宋体" w:hAnsi="宋体" w:cs="Times New Roman"/>
          <w:color w:val="auto"/>
          <w:kern w:val="2"/>
          <w:sz w:val="21"/>
          <w:szCs w:val="21"/>
          <w:highlight w:val="none"/>
        </w:rPr>
        <w:t>比选申请人必须在资格审查中对以</w:t>
      </w:r>
      <w:bookmarkStart w:id="2316" w:name="_GoBack"/>
      <w:r>
        <w:rPr>
          <w:rFonts w:hint="eastAsia" w:ascii="宋体" w:hAnsi="宋体" w:eastAsia="宋体" w:cs="Times New Roman"/>
          <w:color w:val="auto"/>
          <w:kern w:val="2"/>
          <w:sz w:val="21"/>
          <w:szCs w:val="21"/>
          <w:highlight w:val="none"/>
          <w:lang w:val="en-US" w:eastAsia="zh-CN" w:bidi="ar-SA"/>
        </w:rPr>
        <w:t>上（1）-（4）条情形进行承诺，否则，视为不响应比选文件要求。</w:t>
      </w:r>
    </w:p>
    <w:bookmarkEnd w:id="2316"/>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pPr>
        <w:pStyle w:val="2"/>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甲     方：                         乙     方：</w:t>
      </w:r>
    </w:p>
    <w:p>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法定代表人                      </w:t>
      </w:r>
    </w:p>
    <w:p>
      <w:pPr>
        <w:spacing w:line="360" w:lineRule="auto"/>
        <w:rPr>
          <w:rFonts w:ascii="宋体" w:hAnsi="宋体"/>
          <w:color w:val="auto"/>
          <w:szCs w:val="21"/>
          <w:highlight w:val="none"/>
        </w:rPr>
      </w:pPr>
      <w:r>
        <w:rPr>
          <w:rFonts w:hint="eastAsia" w:ascii="宋体" w:hAnsi="宋体"/>
          <w:color w:val="auto"/>
          <w:szCs w:val="21"/>
          <w:highlight w:val="none"/>
        </w:rPr>
        <w:t>或其授权的代理人：                  或授权的代理人：</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bookmarkStart w:id="2016" w:name="_Toc435690184"/>
      <w:bookmarkStart w:id="2017" w:name="_Toc448406299"/>
      <w:bookmarkStart w:id="2018" w:name="_Toc435689499"/>
      <w:bookmarkStart w:id="2019" w:name="_Toc239510288"/>
      <w:bookmarkStart w:id="2020" w:name="_Toc247431422"/>
      <w:bookmarkStart w:id="2021" w:name="_Toc336680145"/>
      <w:r>
        <w:rPr>
          <w:rFonts w:hint="eastAsia" w:ascii="宋体" w:hAnsi="宋体"/>
          <w:color w:val="auto"/>
          <w:szCs w:val="21"/>
          <w:highlight w:val="none"/>
        </w:rPr>
        <w:t>安全管理协议</w:t>
      </w:r>
      <w:bookmarkEnd w:id="2016"/>
      <w:bookmarkEnd w:id="2017"/>
      <w:bookmarkEnd w:id="2018"/>
      <w:bookmarkEnd w:id="2019"/>
      <w:bookmarkEnd w:id="2020"/>
      <w:bookmarkEnd w:id="2021"/>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color w:val="auto"/>
          <w:szCs w:val="21"/>
          <w:highlight w:val="none"/>
        </w:rPr>
      </w:pPr>
      <w:bookmarkStart w:id="2022" w:name="_Toc532375700"/>
      <w:bookmarkStart w:id="2023" w:name="_Toc247431423"/>
      <w:bookmarkStart w:id="2024" w:name="_Toc239510289"/>
      <w:bookmarkStart w:id="2025" w:name="_Toc247418263"/>
      <w:r>
        <w:rPr>
          <w:rFonts w:hint="eastAsia" w:ascii="宋体" w:hAnsi="宋体"/>
          <w:color w:val="auto"/>
          <w:szCs w:val="21"/>
          <w:highlight w:val="none"/>
        </w:rPr>
        <w:t>一、协议有效期限</w:t>
      </w:r>
      <w:bookmarkEnd w:id="2022"/>
      <w:bookmarkEnd w:id="2023"/>
      <w:bookmarkEnd w:id="2024"/>
      <w:bookmarkEnd w:id="202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color w:val="auto"/>
          <w:szCs w:val="21"/>
          <w:highlight w:val="none"/>
        </w:rPr>
      </w:pPr>
      <w:bookmarkStart w:id="2026" w:name="_Toc247418264"/>
      <w:bookmarkStart w:id="2027" w:name="_Toc247431424"/>
      <w:bookmarkStart w:id="2028" w:name="_Toc239510290"/>
      <w:bookmarkStart w:id="2029" w:name="_Toc532375701"/>
      <w:r>
        <w:rPr>
          <w:rFonts w:hint="eastAsia" w:ascii="宋体" w:hAnsi="宋体"/>
          <w:color w:val="auto"/>
          <w:szCs w:val="21"/>
          <w:highlight w:val="none"/>
        </w:rPr>
        <w:t>二、责任目标</w:t>
      </w:r>
      <w:bookmarkEnd w:id="2026"/>
      <w:bookmarkEnd w:id="2027"/>
      <w:bookmarkEnd w:id="2028"/>
      <w:bookmarkEnd w:id="202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1．不发生人身重伤事故；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2．不发生火灾事故；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pPr>
        <w:spacing w:line="360" w:lineRule="auto"/>
        <w:ind w:firstLine="420" w:firstLineChars="200"/>
        <w:jc w:val="left"/>
        <w:rPr>
          <w:rFonts w:ascii="宋体" w:hAnsi="宋体"/>
          <w:color w:val="auto"/>
          <w:szCs w:val="21"/>
          <w:highlight w:val="none"/>
        </w:rPr>
      </w:pPr>
      <w:bookmarkStart w:id="2030" w:name="_Toc239510291"/>
      <w:bookmarkStart w:id="2031" w:name="_Toc247431425"/>
      <w:bookmarkStart w:id="2032" w:name="_Toc247418265"/>
      <w:r>
        <w:rPr>
          <w:rFonts w:hint="eastAsia" w:ascii="宋体" w:hAnsi="宋体"/>
          <w:color w:val="auto"/>
          <w:szCs w:val="21"/>
          <w:highlight w:val="none"/>
        </w:rPr>
        <w:t>（三）承包人承诺在施工中控制以下安全事故的发生：</w:t>
      </w:r>
      <w:bookmarkEnd w:id="2030"/>
      <w:bookmarkEnd w:id="2031"/>
      <w:bookmarkEnd w:id="203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1．人员轻伤事故。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3．其他安全未遂事故和异常事件。</w:t>
      </w:r>
    </w:p>
    <w:p>
      <w:pPr>
        <w:spacing w:line="360" w:lineRule="auto"/>
        <w:ind w:firstLine="420" w:firstLineChars="200"/>
        <w:rPr>
          <w:rFonts w:ascii="宋体" w:hAnsi="宋体"/>
          <w:color w:val="auto"/>
          <w:szCs w:val="21"/>
          <w:highlight w:val="none"/>
        </w:rPr>
      </w:pPr>
      <w:bookmarkStart w:id="2033" w:name="_Toc532375702"/>
      <w:bookmarkStart w:id="2034" w:name="_Toc247418266"/>
      <w:bookmarkStart w:id="2035" w:name="_Toc239510292"/>
      <w:bookmarkStart w:id="2036" w:name="_Toc247431426"/>
      <w:r>
        <w:rPr>
          <w:rFonts w:hint="eastAsia" w:ascii="宋体" w:hAnsi="宋体"/>
          <w:color w:val="auto"/>
          <w:szCs w:val="21"/>
          <w:highlight w:val="none"/>
        </w:rPr>
        <w:t>三、安全责任</w:t>
      </w:r>
      <w:bookmarkEnd w:id="2033"/>
      <w:bookmarkEnd w:id="2034"/>
      <w:bookmarkEnd w:id="2035"/>
      <w:bookmarkEnd w:id="203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color w:val="auto"/>
          <w:szCs w:val="21"/>
          <w:highlight w:val="none"/>
        </w:rPr>
      </w:pPr>
      <w:bookmarkStart w:id="2037" w:name="_Toc247431427"/>
      <w:bookmarkStart w:id="2038" w:name="_Toc532375703"/>
      <w:bookmarkStart w:id="2039" w:name="_Toc247418267"/>
      <w:bookmarkStart w:id="2040" w:name="_Toc239510293"/>
      <w:r>
        <w:rPr>
          <w:rFonts w:hint="eastAsia" w:ascii="宋体" w:hAnsi="宋体"/>
          <w:color w:val="auto"/>
          <w:szCs w:val="21"/>
          <w:highlight w:val="none"/>
        </w:rPr>
        <w:t>四、接口及协调</w:t>
      </w:r>
      <w:bookmarkEnd w:id="2037"/>
      <w:bookmarkEnd w:id="2038"/>
      <w:bookmarkEnd w:id="2039"/>
      <w:bookmarkEnd w:id="204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pPr>
        <w:spacing w:line="360" w:lineRule="auto"/>
        <w:ind w:firstLine="420" w:firstLineChars="200"/>
        <w:rPr>
          <w:rFonts w:ascii="宋体" w:hAnsi="宋体"/>
          <w:color w:val="auto"/>
          <w:szCs w:val="21"/>
          <w:highlight w:val="none"/>
        </w:rPr>
      </w:pPr>
      <w:bookmarkStart w:id="2041" w:name="_Toc239510294"/>
      <w:bookmarkStart w:id="2042" w:name="_Toc532375704"/>
      <w:bookmarkStart w:id="2043" w:name="_Toc247418268"/>
      <w:bookmarkStart w:id="2044" w:name="_Toc247431428"/>
      <w:r>
        <w:rPr>
          <w:rFonts w:hint="eastAsia" w:ascii="宋体" w:hAnsi="宋体"/>
          <w:color w:val="auto"/>
          <w:szCs w:val="21"/>
          <w:highlight w:val="none"/>
        </w:rPr>
        <w:t>五、安全资质审查</w:t>
      </w:r>
      <w:bookmarkEnd w:id="2041"/>
      <w:bookmarkEnd w:id="2042"/>
      <w:bookmarkEnd w:id="2043"/>
      <w:bookmarkEnd w:id="204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1．企业安全生产许可证书复印件。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4．特种作业人员资格证书。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pPr>
        <w:spacing w:line="360" w:lineRule="auto"/>
        <w:ind w:firstLine="420" w:firstLineChars="200"/>
        <w:rPr>
          <w:rFonts w:ascii="宋体" w:hAnsi="宋体"/>
          <w:color w:val="auto"/>
          <w:szCs w:val="21"/>
          <w:highlight w:val="none"/>
        </w:rPr>
      </w:pPr>
      <w:bookmarkStart w:id="2045" w:name="_Toc247431429"/>
      <w:bookmarkStart w:id="2046" w:name="_Toc247418269"/>
      <w:bookmarkStart w:id="2047" w:name="_Toc532375705"/>
      <w:bookmarkStart w:id="2048" w:name="_Toc239510295"/>
      <w:r>
        <w:rPr>
          <w:rFonts w:hint="eastAsia" w:ascii="宋体" w:hAnsi="宋体"/>
          <w:color w:val="auto"/>
          <w:szCs w:val="21"/>
          <w:highlight w:val="none"/>
        </w:rPr>
        <w:t>六、人员基本素质</w:t>
      </w:r>
      <w:bookmarkEnd w:id="2045"/>
      <w:bookmarkEnd w:id="2046"/>
      <w:bookmarkEnd w:id="2047"/>
      <w:bookmarkEnd w:id="204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承包人提供的人员必须满足下列要求：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2．无刑事案件牵连。</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3．无吸毒、酗酒、赌博、嫖娼等恶习及违法行为。</w:t>
      </w:r>
    </w:p>
    <w:p>
      <w:pPr>
        <w:spacing w:line="360" w:lineRule="auto"/>
        <w:ind w:firstLine="420" w:firstLineChars="200"/>
        <w:rPr>
          <w:rFonts w:ascii="宋体" w:hAnsi="宋体"/>
          <w:color w:val="auto"/>
          <w:szCs w:val="21"/>
          <w:highlight w:val="none"/>
        </w:rPr>
      </w:pPr>
      <w:bookmarkStart w:id="2049" w:name="_Toc239510296"/>
      <w:bookmarkStart w:id="2050" w:name="_Toc532375706"/>
      <w:bookmarkStart w:id="2051" w:name="_Toc247418270"/>
      <w:bookmarkStart w:id="2052" w:name="_Toc247431430"/>
      <w:r>
        <w:rPr>
          <w:rFonts w:hint="eastAsia" w:ascii="宋体" w:hAnsi="宋体"/>
          <w:color w:val="auto"/>
          <w:szCs w:val="21"/>
          <w:highlight w:val="none"/>
        </w:rPr>
        <w:t>七、劳动保护</w:t>
      </w:r>
      <w:bookmarkEnd w:id="2049"/>
      <w:bookmarkEnd w:id="2050"/>
      <w:bookmarkEnd w:id="2051"/>
      <w:bookmarkEnd w:id="205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pPr>
        <w:spacing w:line="360" w:lineRule="auto"/>
        <w:ind w:firstLine="420" w:firstLineChars="200"/>
        <w:rPr>
          <w:rFonts w:ascii="宋体" w:hAnsi="宋体"/>
          <w:color w:val="auto"/>
          <w:szCs w:val="21"/>
          <w:highlight w:val="none"/>
        </w:rPr>
      </w:pPr>
      <w:bookmarkStart w:id="2053" w:name="_Toc239510297"/>
      <w:bookmarkStart w:id="2054" w:name="_Toc247431431"/>
      <w:bookmarkStart w:id="2055" w:name="_Toc247418271"/>
      <w:bookmarkStart w:id="2056" w:name="_Toc532375707"/>
      <w:r>
        <w:rPr>
          <w:rFonts w:hint="eastAsia" w:ascii="宋体" w:hAnsi="宋体"/>
          <w:color w:val="auto"/>
          <w:szCs w:val="21"/>
          <w:highlight w:val="none"/>
        </w:rPr>
        <w:t>八、施工机具与材料</w:t>
      </w:r>
      <w:bookmarkEnd w:id="2053"/>
      <w:bookmarkEnd w:id="2054"/>
      <w:bookmarkEnd w:id="2055"/>
      <w:bookmarkEnd w:id="205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color w:val="auto"/>
          <w:szCs w:val="21"/>
          <w:highlight w:val="none"/>
        </w:rPr>
      </w:pPr>
      <w:bookmarkStart w:id="2057" w:name="_Toc532375708"/>
      <w:bookmarkStart w:id="2058" w:name="_Toc247431432"/>
      <w:bookmarkStart w:id="2059" w:name="_Toc239510298"/>
      <w:bookmarkStart w:id="2060" w:name="_Toc247418272"/>
      <w:r>
        <w:rPr>
          <w:rFonts w:hint="eastAsia" w:ascii="宋体" w:hAnsi="宋体"/>
          <w:color w:val="auto"/>
          <w:szCs w:val="21"/>
          <w:highlight w:val="none"/>
        </w:rPr>
        <w:t>九、开工前安全条件检查</w:t>
      </w:r>
      <w:bookmarkEnd w:id="2057"/>
      <w:bookmarkEnd w:id="2058"/>
      <w:bookmarkEnd w:id="2059"/>
      <w:bookmarkEnd w:id="206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color w:val="auto"/>
          <w:szCs w:val="21"/>
          <w:highlight w:val="none"/>
        </w:rPr>
      </w:pPr>
      <w:bookmarkStart w:id="2061" w:name="_Toc247431433"/>
      <w:bookmarkStart w:id="2062" w:name="_Toc247418273"/>
      <w:bookmarkStart w:id="2063" w:name="_Toc532375709"/>
      <w:bookmarkStart w:id="2064" w:name="_Toc239510299"/>
      <w:r>
        <w:rPr>
          <w:rFonts w:hint="eastAsia" w:ascii="宋体" w:hAnsi="宋体"/>
          <w:color w:val="auto"/>
          <w:szCs w:val="21"/>
          <w:highlight w:val="none"/>
        </w:rPr>
        <w:t>十、安全监督</w:t>
      </w:r>
      <w:bookmarkEnd w:id="2061"/>
      <w:bookmarkEnd w:id="2062"/>
      <w:bookmarkEnd w:id="2063"/>
      <w:bookmarkEnd w:id="206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color w:val="auto"/>
          <w:szCs w:val="21"/>
          <w:highlight w:val="none"/>
        </w:rPr>
      </w:pPr>
      <w:bookmarkStart w:id="2065" w:name="_Toc247418274"/>
      <w:bookmarkStart w:id="2066" w:name="_Toc239510300"/>
      <w:bookmarkStart w:id="2067" w:name="_Toc247431434"/>
      <w:bookmarkStart w:id="2068" w:name="_Toc532375710"/>
      <w:r>
        <w:rPr>
          <w:rFonts w:hint="eastAsia" w:ascii="宋体" w:hAnsi="宋体"/>
          <w:color w:val="auto"/>
          <w:szCs w:val="21"/>
          <w:highlight w:val="none"/>
        </w:rPr>
        <w:t>十一、安全培训与授权</w:t>
      </w:r>
      <w:bookmarkEnd w:id="2065"/>
      <w:bookmarkEnd w:id="2066"/>
      <w:bookmarkEnd w:id="2067"/>
      <w:bookmarkEnd w:id="206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color w:val="auto"/>
          <w:szCs w:val="21"/>
          <w:highlight w:val="none"/>
        </w:rPr>
      </w:pPr>
      <w:bookmarkStart w:id="2069" w:name="_Toc247431435"/>
      <w:bookmarkStart w:id="2070" w:name="_Toc239510301"/>
      <w:bookmarkStart w:id="2071" w:name="_Toc247418275"/>
      <w:bookmarkStart w:id="2072" w:name="_Toc532375711"/>
      <w:r>
        <w:rPr>
          <w:rFonts w:hint="eastAsia" w:ascii="宋体" w:hAnsi="宋体"/>
          <w:color w:val="auto"/>
          <w:szCs w:val="21"/>
          <w:highlight w:val="none"/>
        </w:rPr>
        <w:t>十二、职业健康与卫生防疫</w:t>
      </w:r>
      <w:bookmarkEnd w:id="2069"/>
      <w:bookmarkEnd w:id="2070"/>
      <w:bookmarkEnd w:id="2071"/>
      <w:bookmarkEnd w:id="207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color w:val="auto"/>
          <w:szCs w:val="21"/>
          <w:highlight w:val="none"/>
        </w:rPr>
      </w:pPr>
      <w:bookmarkStart w:id="2073" w:name="_Toc247418276"/>
      <w:bookmarkStart w:id="2074" w:name="_Toc239510302"/>
      <w:bookmarkStart w:id="2075" w:name="_Toc532375712"/>
      <w:bookmarkStart w:id="2076" w:name="_Toc247431436"/>
      <w:r>
        <w:rPr>
          <w:rFonts w:hint="eastAsia" w:ascii="宋体" w:hAnsi="宋体"/>
          <w:color w:val="auto"/>
          <w:szCs w:val="21"/>
          <w:highlight w:val="none"/>
        </w:rPr>
        <w:t>十三、文明施工与环保要求</w:t>
      </w:r>
      <w:bookmarkEnd w:id="2073"/>
      <w:bookmarkEnd w:id="2074"/>
      <w:bookmarkEnd w:id="2075"/>
      <w:bookmarkEnd w:id="207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2．承包人作业时应避免建筑材料抛洒、飞扬、流淌；应尽可能降低噪音、震动。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color w:val="auto"/>
          <w:szCs w:val="21"/>
          <w:highlight w:val="none"/>
        </w:rPr>
      </w:pPr>
      <w:bookmarkStart w:id="2077" w:name="_Toc532375713"/>
      <w:bookmarkStart w:id="2078" w:name="_Toc247431437"/>
      <w:bookmarkStart w:id="2079" w:name="_Toc247418277"/>
      <w:bookmarkStart w:id="2080" w:name="_Toc239510303"/>
      <w:r>
        <w:rPr>
          <w:rFonts w:hint="eastAsia" w:ascii="宋体" w:hAnsi="宋体"/>
          <w:color w:val="auto"/>
          <w:szCs w:val="21"/>
          <w:highlight w:val="none"/>
        </w:rPr>
        <w:t>十四、工程风险管理与事故预防</w:t>
      </w:r>
      <w:bookmarkEnd w:id="2077"/>
      <w:bookmarkEnd w:id="2078"/>
      <w:bookmarkEnd w:id="2079"/>
      <w:bookmarkEnd w:id="2080"/>
    </w:p>
    <w:p>
      <w:pPr>
        <w:spacing w:line="360" w:lineRule="auto"/>
        <w:ind w:firstLine="420" w:firstLineChars="200"/>
        <w:jc w:val="left"/>
        <w:rPr>
          <w:rFonts w:ascii="宋体" w:hAnsi="宋体"/>
          <w:color w:val="auto"/>
          <w:szCs w:val="21"/>
          <w:highlight w:val="none"/>
        </w:rPr>
      </w:pPr>
      <w:bookmarkStart w:id="2081" w:name="_Toc247418278"/>
      <w:bookmarkStart w:id="2082" w:name="_Toc239510304"/>
      <w:bookmarkStart w:id="2083" w:name="_Toc247431438"/>
      <w:r>
        <w:rPr>
          <w:rFonts w:hint="eastAsia" w:ascii="宋体" w:hAnsi="宋体"/>
          <w:color w:val="auto"/>
          <w:szCs w:val="21"/>
          <w:highlight w:val="none"/>
        </w:rPr>
        <w:t>（一）基本要求</w:t>
      </w:r>
      <w:bookmarkEnd w:id="2081"/>
      <w:bookmarkEnd w:id="2082"/>
      <w:bookmarkEnd w:id="2083"/>
    </w:p>
    <w:p>
      <w:pPr>
        <w:spacing w:line="360" w:lineRule="auto"/>
        <w:ind w:firstLine="420" w:firstLineChars="200"/>
        <w:jc w:val="left"/>
        <w:rPr>
          <w:rFonts w:ascii="宋体" w:hAnsi="宋体"/>
          <w:color w:val="auto"/>
          <w:szCs w:val="21"/>
          <w:highlight w:val="none"/>
        </w:rPr>
      </w:pPr>
      <w:bookmarkStart w:id="2084" w:name="_Toc532375714"/>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208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（3）施工作业条件的类型和主要事故风险。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（5）主要火灾危险（可燃物、点火源）。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color w:val="auto"/>
          <w:szCs w:val="21"/>
          <w:highlight w:val="none"/>
        </w:rPr>
      </w:pPr>
      <w:bookmarkStart w:id="2085" w:name="_Toc239510305"/>
      <w:bookmarkStart w:id="2086" w:name="_Toc247418279"/>
      <w:bookmarkStart w:id="2087" w:name="_Toc247431439"/>
      <w:r>
        <w:rPr>
          <w:rFonts w:hint="eastAsia" w:ascii="宋体" w:hAnsi="宋体"/>
          <w:color w:val="auto"/>
          <w:szCs w:val="21"/>
          <w:highlight w:val="none"/>
        </w:rPr>
        <w:t>（二）现场作业基本安全条件</w:t>
      </w:r>
      <w:bookmarkEnd w:id="2085"/>
      <w:bookmarkEnd w:id="2086"/>
      <w:bookmarkEnd w:id="208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color w:val="auto"/>
          <w:szCs w:val="21"/>
          <w:highlight w:val="none"/>
        </w:rPr>
      </w:pPr>
      <w:bookmarkStart w:id="2088" w:name="_Toc532375715"/>
      <w:bookmarkStart w:id="2089" w:name="_Toc247418280"/>
      <w:bookmarkStart w:id="2090" w:name="_Toc247431440"/>
      <w:bookmarkStart w:id="2091" w:name="_Toc239510306"/>
      <w:r>
        <w:rPr>
          <w:rFonts w:hint="eastAsia" w:ascii="宋体" w:hAnsi="宋体"/>
          <w:color w:val="auto"/>
          <w:szCs w:val="21"/>
          <w:highlight w:val="none"/>
        </w:rPr>
        <w:t>十五、事故报告与应急救援</w:t>
      </w:r>
      <w:bookmarkEnd w:id="2088"/>
      <w:bookmarkEnd w:id="2089"/>
      <w:bookmarkEnd w:id="2090"/>
      <w:bookmarkEnd w:id="209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color w:val="auto"/>
          <w:szCs w:val="21"/>
          <w:highlight w:val="none"/>
        </w:rPr>
      </w:pPr>
      <w:bookmarkStart w:id="2092" w:name="_Toc247418281"/>
      <w:bookmarkStart w:id="2093" w:name="_Toc239510307"/>
      <w:bookmarkStart w:id="2094" w:name="_Toc247431441"/>
      <w:bookmarkStart w:id="2095" w:name="_Toc532375716"/>
      <w:r>
        <w:rPr>
          <w:rFonts w:hint="eastAsia" w:ascii="宋体" w:hAnsi="宋体"/>
          <w:color w:val="auto"/>
          <w:szCs w:val="21"/>
          <w:highlight w:val="none"/>
        </w:rPr>
        <w:t>十六、安全业绩考核</w:t>
      </w:r>
      <w:bookmarkEnd w:id="2092"/>
      <w:bookmarkEnd w:id="2093"/>
      <w:bookmarkEnd w:id="2094"/>
      <w:bookmarkEnd w:id="209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签约合同价的4‰</w:t>
            </w:r>
          </w:p>
        </w:tc>
      </w:tr>
    </w:tbl>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（5）如整个施工过程未发生以上安全事故，则给予承包人建安费总额的1‰的安全奖励。</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ascii="宋体" w:hAnsi="宋体"/>
          <w:color w:val="auto"/>
          <w:szCs w:val="21"/>
          <w:highlight w:val="none"/>
        </w:rPr>
      </w:pPr>
      <w:bookmarkStart w:id="2096" w:name="_Toc247431442"/>
      <w:bookmarkStart w:id="2097" w:name="_Toc532375717"/>
      <w:bookmarkStart w:id="2098" w:name="_Toc239510308"/>
      <w:bookmarkStart w:id="2099" w:name="_Toc247418282"/>
      <w:r>
        <w:rPr>
          <w:rFonts w:hint="eastAsia" w:ascii="宋体" w:hAnsi="宋体"/>
          <w:color w:val="auto"/>
          <w:szCs w:val="21"/>
          <w:highlight w:val="none"/>
        </w:rPr>
        <w:t>十七、协议条款的修订</w:t>
      </w:r>
      <w:bookmarkEnd w:id="2096"/>
      <w:bookmarkEnd w:id="2097"/>
      <w:bookmarkEnd w:id="2098"/>
      <w:bookmarkEnd w:id="2099"/>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  包  人（单位公章）：</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承  包  人（单位公章）：</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p>
    <w:p>
      <w:pPr>
        <w:snapToGrid w:val="0"/>
        <w:spacing w:line="360" w:lineRule="auto"/>
        <w:jc w:val="left"/>
        <w:rPr>
          <w:rFonts w:ascii="宋体" w:hAnsi="宋体"/>
          <w:color w:val="auto"/>
          <w:kern w:val="0"/>
          <w:szCs w:val="21"/>
          <w:highlight w:val="none"/>
        </w:rPr>
      </w:pPr>
      <w:r>
        <w:rPr>
          <w:rFonts w:hint="eastAsia"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保障农民工工资支付协议</w:t>
      </w:r>
    </w:p>
    <w:p>
      <w:pPr>
        <w:snapToGrid w:val="0"/>
        <w:spacing w:line="480" w:lineRule="auto"/>
        <w:rPr>
          <w:rFonts w:ascii="宋体" w:hAnsi="宋体"/>
          <w:color w:val="auto"/>
          <w:szCs w:val="21"/>
          <w:highlight w:val="none"/>
        </w:rPr>
      </w:pPr>
      <w:r>
        <w:rPr>
          <w:rFonts w:hint="eastAsia" w:ascii="宋体" w:hAnsi="宋体"/>
          <w:color w:val="auto"/>
          <w:szCs w:val="21"/>
          <w:highlight w:val="none"/>
        </w:rPr>
        <w:t xml:space="preserve"> 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四、若发现承包人有下列事项的，发包人在支付当期进度款时暂扣当期应支付进度款5%比例的款项。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（一）现场检查发现项目存在拖欠农民工工资情况并经核查属实的；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（二）相关行政管理部门检查发现存在拖欠农民工工资情况并经核查属实的；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（三）有拖欠农民工工资投诉事项并经核查属实的。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color w:val="auto"/>
          <w:spacing w:val="-4"/>
          <w:kern w:val="0"/>
          <w:szCs w:val="21"/>
          <w:highlight w:val="none"/>
        </w:rPr>
      </w:pPr>
      <w:r>
        <w:rPr>
          <w:rFonts w:hint="eastAsia" w:ascii="宋体" w:hAnsi="宋体"/>
          <w:color w:val="auto"/>
          <w:szCs w:val="21"/>
          <w:highlight w:val="none"/>
        </w:rPr>
        <w:t>六、本协议经双方法定代表人或委托代理人签名并加盖单位公章后生效，履行完毕后自然失效。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1、关于农民工工资发放情况的说明表</w:t>
      </w: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pStyle w:val="2"/>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pPr>
        <w:snapToGrid w:val="0"/>
        <w:spacing w:line="360" w:lineRule="auto"/>
        <w:ind w:firstLine="560"/>
        <w:rPr>
          <w:rFonts w:ascii="宋体" w:hAnsi="宋体"/>
          <w:color w:val="auto"/>
          <w:szCs w:val="21"/>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保障农民工工资支付协议附件1：</w:t>
      </w:r>
    </w:p>
    <w:p>
      <w:pPr>
        <w:widowControl/>
        <w:snapToGrid w:val="0"/>
        <w:spacing w:after="100" w:afterAutospacing="1" w:line="480" w:lineRule="auto"/>
        <w:jc w:val="center"/>
        <w:rPr>
          <w:rFonts w:ascii="宋体" w:hAnsi="宋体"/>
          <w:color w:val="auto"/>
          <w:szCs w:val="21"/>
          <w:highlight w:val="none"/>
        </w:rPr>
      </w:pPr>
      <w:r>
        <w:rPr>
          <w:rFonts w:hint="eastAsia" w:ascii="宋体" w:hAnsi="宋体"/>
          <w:color w:val="auto"/>
          <w:szCs w:val="21"/>
          <w:highlight w:val="none"/>
        </w:rPr>
        <w:t>关于农民工工资发放情况的说明表</w:t>
      </w:r>
    </w:p>
    <w:tbl>
      <w:tblPr>
        <w:tblStyle w:val="4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color w:val="auto"/>
                <w:kern w:val="0"/>
                <w:szCs w:val="21"/>
                <w:highlight w:val="none"/>
              </w:rPr>
            </w:pPr>
            <w:r>
              <w:rPr>
                <w:rFonts w:hint="eastAsia" w:ascii="宋体" w:hAnsi="宋体"/>
                <w:color w:val="auto"/>
                <w:kern w:val="0"/>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施工单位：</w:t>
            </w:r>
          </w:p>
        </w:tc>
        <w:tc>
          <w:tcPr>
            <w:tcW w:w="6201" w:type="dxa"/>
          </w:tcPr>
          <w:p>
            <w:pPr>
              <w:widowControl/>
              <w:snapToGrid w:val="0"/>
              <w:spacing w:after="100" w:afterAutospacing="1" w:line="400" w:lineRule="exact"/>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监理单位：</w:t>
            </w:r>
          </w:p>
        </w:tc>
        <w:tc>
          <w:tcPr>
            <w:tcW w:w="6201" w:type="dxa"/>
          </w:tcPr>
          <w:p>
            <w:pPr>
              <w:widowControl/>
              <w:snapToGrid w:val="0"/>
              <w:spacing w:after="100" w:afterAutospacing="1" w:line="400" w:lineRule="exact"/>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（项目业主单位名称）：</w:t>
            </w:r>
          </w:p>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p>
          <w:p>
            <w:pPr>
              <w:pStyle w:val="65"/>
              <w:rPr>
                <w:color w:val="auto"/>
                <w:highlight w:val="none"/>
              </w:rPr>
            </w:pPr>
          </w:p>
          <w:p>
            <w:pPr>
              <w:widowControl/>
              <w:snapToGrid w:val="0"/>
              <w:spacing w:after="100" w:afterAutospacing="1" w:line="400" w:lineRule="exact"/>
              <w:ind w:firstLine="1260" w:firstLineChars="600"/>
              <w:rPr>
                <w:rFonts w:ascii="宋体" w:hAnsi="宋体"/>
                <w:color w:val="auto"/>
                <w:kern w:val="0"/>
                <w:szCs w:val="21"/>
                <w:highlight w:val="none"/>
                <w:u w:val="single"/>
              </w:rPr>
            </w:pPr>
            <w:r>
              <w:rPr>
                <w:rFonts w:hint="eastAsia" w:ascii="宋体" w:hAnsi="宋体"/>
                <w:color w:val="auto"/>
                <w:kern w:val="0"/>
                <w:szCs w:val="21"/>
                <w:highlight w:val="none"/>
              </w:rPr>
              <w:t>施工单位项目负责人签名（加盖项目章）：</w:t>
            </w:r>
            <w:r>
              <w:rPr>
                <w:rFonts w:hint="eastAsia" w:ascii="宋体" w:hAnsi="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监理单位意见：</w:t>
            </w:r>
          </w:p>
        </w:tc>
        <w:tc>
          <w:tcPr>
            <w:tcW w:w="6201" w:type="dxa"/>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总监签名并加盖项目章：</w:t>
            </w:r>
            <w:r>
              <w:rPr>
                <w:rFonts w:hint="eastAsia" w:ascii="宋体" w:hAnsi="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工程部项目负责人意见：</w:t>
            </w:r>
          </w:p>
        </w:tc>
        <w:tc>
          <w:tcPr>
            <w:tcW w:w="6201" w:type="dxa"/>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项目负责人签名：</w:t>
            </w:r>
            <w:r>
              <w:rPr>
                <w:rFonts w:hint="eastAsia" w:ascii="宋体" w:hAnsi="宋体"/>
                <w:color w:val="auto"/>
                <w:kern w:val="0"/>
                <w:szCs w:val="21"/>
                <w:highlight w:val="none"/>
                <w:u w:val="single"/>
              </w:rPr>
              <w:t xml:space="preserve">        </w:t>
            </w:r>
          </w:p>
        </w:tc>
      </w:tr>
    </w:tbl>
    <w:p>
      <w:pPr>
        <w:rPr>
          <w:rFonts w:ascii="宋体" w:hAnsi="宋体"/>
          <w:color w:val="auto"/>
          <w:sz w:val="24"/>
          <w:highlight w:val="none"/>
        </w:rPr>
      </w:pPr>
      <w:r>
        <w:rPr>
          <w:rFonts w:ascii="宋体" w:hAnsi="宋体"/>
          <w:color w:val="auto"/>
          <w:sz w:val="24"/>
          <w:highlight w:val="none"/>
        </w:rPr>
        <w:br w:type="page"/>
      </w:r>
    </w:p>
    <w:p>
      <w:pPr>
        <w:spacing w:line="360" w:lineRule="auto"/>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p>
      <w:pPr>
        <w:spacing w:line="360" w:lineRule="auto"/>
        <w:jc w:val="center"/>
        <w:rPr>
          <w:rFonts w:asciiTheme="minorEastAsia" w:hAnsiTheme="minorEastAsia" w:eastAsiaTheme="minorEastAsia" w:cstheme="minorEastAsia"/>
          <w:b/>
          <w:bCs/>
          <w:color w:val="auto"/>
          <w:szCs w:val="21"/>
          <w:highlight w:val="none"/>
        </w:rPr>
      </w:pP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pPr>
        <w:pStyle w:val="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（项目名称）的投标，收到受益人于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竞争性比选文件和比选申请文件约定的义务，向贵方提供不可撤销、不可转让的见索即付独立保函（以下简称“本保函”）。</w:t>
      </w:r>
    </w:p>
    <w:p>
      <w:pPr>
        <w:pStyle w:val="2"/>
        <w:numPr>
          <w:ilvl w:val="0"/>
          <w:numId w:val="2"/>
        </w:num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竞争性比选文件和比选申请文件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（3）载明申请人未按照中标通知书、竞争性比选文件和比选申请文件约定签订合同或违反合同义务的条款和内容；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（4）付款通知中应声明不存在竞争性比选文件约定、合同文件约定或我国法律规定免除申请人或开立人支付责任的情形；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pPr>
        <w:spacing w:line="360" w:lineRule="auto"/>
        <w:ind w:firstLine="420" w:firstLineChars="200"/>
        <w:rPr>
          <w:rFonts w:ascii="宋体" w:hAnsi="宋体"/>
          <w:color w:val="auto"/>
          <w:szCs w:val="20"/>
          <w:highlight w:val="none"/>
        </w:rPr>
      </w:pPr>
      <w:r>
        <w:rPr>
          <w:rFonts w:hint="eastAsia" w:asciiTheme="minorEastAsia" w:hAnsiTheme="minorEastAsia" w:eastAsiaTheme="minorEastAsia" w:cstheme="minorEastAsia"/>
          <w:color w:val="auto"/>
          <w:szCs w:val="21"/>
          <w:highlight w:val="none"/>
        </w:rPr>
        <w:t>开立时间：      年      月        日</w:t>
      </w:r>
      <w:r>
        <w:rPr>
          <w:rFonts w:ascii="宋体" w:hAnsi="宋体"/>
          <w:color w:val="auto"/>
          <w:sz w:val="24"/>
          <w:highlight w:val="none"/>
        </w:rPr>
        <w:br w:type="page"/>
      </w:r>
      <w:bookmarkEnd w:id="607"/>
      <w:bookmarkStart w:id="2100" w:name="招标文件05章工程量清单"/>
      <w:bookmarkEnd w:id="2100"/>
    </w:p>
    <w:p>
      <w:pPr>
        <w:pStyle w:val="3"/>
        <w:spacing w:before="0" w:after="0" w:line="360" w:lineRule="auto"/>
        <w:jc w:val="center"/>
        <w:rPr>
          <w:rFonts w:ascii="宋体" w:hAnsi="宋体"/>
          <w:color w:val="auto"/>
          <w:highlight w:val="none"/>
        </w:rPr>
      </w:pPr>
      <w:bookmarkStart w:id="2101" w:name="_Toc430530513"/>
      <w:bookmarkStart w:id="2102" w:name="_Toc287607855"/>
      <w:bookmarkStart w:id="2103" w:name="_Toc287620797"/>
      <w:bookmarkStart w:id="2104" w:name="_Toc25828"/>
      <w:bookmarkStart w:id="2105" w:name="_Toc16194"/>
      <w:bookmarkStart w:id="2106" w:name="_Toc509218843"/>
      <w:bookmarkStart w:id="2107" w:name="_Toc534185822"/>
      <w:r>
        <w:rPr>
          <w:rFonts w:hint="eastAsia" w:ascii="宋体" w:hAnsi="宋体"/>
          <w:color w:val="auto"/>
          <w:highlight w:val="none"/>
        </w:rPr>
        <w:t>第五章  工程量清单</w:t>
      </w:r>
      <w:bookmarkEnd w:id="2101"/>
      <w:bookmarkEnd w:id="2102"/>
      <w:bookmarkEnd w:id="2103"/>
      <w:bookmarkEnd w:id="2104"/>
      <w:bookmarkEnd w:id="2105"/>
      <w:bookmarkEnd w:id="2106"/>
      <w:bookmarkEnd w:id="2107"/>
      <w:bookmarkStart w:id="2108" w:name="招标文件05章工程量清单01"/>
      <w:bookmarkEnd w:id="2108"/>
      <w:bookmarkStart w:id="2109" w:name="_Toc430530514"/>
      <w:bookmarkStart w:id="2110" w:name="_Toc287607856"/>
      <w:bookmarkStart w:id="2111" w:name="_Toc287620798"/>
      <w:bookmarkStart w:id="2112" w:name="_Toc277082638"/>
      <w:bookmarkStart w:id="2113" w:name="_Toc224103477"/>
    </w:p>
    <w:bookmarkEnd w:id="2109"/>
    <w:bookmarkEnd w:id="2110"/>
    <w:bookmarkEnd w:id="2111"/>
    <w:bookmarkEnd w:id="2112"/>
    <w:bookmarkEnd w:id="2113"/>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Cs w:val="21"/>
          <w:highlight w:val="none"/>
        </w:rPr>
      </w:pPr>
      <w:r>
        <w:rPr>
          <w:rFonts w:hint="eastAsia" w:ascii="宋体" w:hAnsi="宋体"/>
          <w:color w:val="auto"/>
          <w:szCs w:val="20"/>
          <w:highlight w:val="none"/>
        </w:rPr>
        <w:t>在</w:t>
      </w:r>
      <w:r>
        <w:rPr>
          <w:rFonts w:hint="eastAsia" w:ascii="宋体" w:hAnsi="宋体" w:cs="宋体"/>
          <w:color w:val="auto"/>
          <w:szCs w:val="21"/>
          <w:highlight w:val="none"/>
          <w:u w:val="single"/>
        </w:rPr>
        <w:t>重庆市公共资源交易网（酉阳县）（https://www.cqggzy.com/youyangweb/）</w:t>
      </w:r>
      <w:r>
        <w:rPr>
          <w:rFonts w:hint="eastAsia" w:ascii="宋体" w:hAnsi="宋体"/>
          <w:color w:val="auto"/>
          <w:szCs w:val="20"/>
          <w:highlight w:val="none"/>
        </w:rPr>
        <w:t>下载。</w:t>
      </w:r>
    </w:p>
    <w:p>
      <w:pPr>
        <w:ind w:right="561"/>
        <w:rPr>
          <w:rFonts w:ascii="宋体" w:hAnsi="宋体"/>
          <w:color w:val="auto"/>
          <w:szCs w:val="21"/>
          <w:highlight w:val="none"/>
        </w:rPr>
      </w:pPr>
      <w:r>
        <w:rPr>
          <w:rFonts w:ascii="宋体" w:hAnsi="宋体"/>
          <w:color w:val="auto"/>
          <w:sz w:val="24"/>
          <w:highlight w:val="none"/>
        </w:rPr>
        <w:br w:type="page"/>
      </w:r>
    </w:p>
    <w:p>
      <w:pPr>
        <w:pStyle w:val="3"/>
        <w:spacing w:before="0" w:after="0" w:line="360" w:lineRule="auto"/>
        <w:jc w:val="center"/>
        <w:rPr>
          <w:rFonts w:ascii="宋体" w:hAnsi="宋体"/>
          <w:color w:val="auto"/>
          <w:sz w:val="52"/>
          <w:szCs w:val="52"/>
          <w:highlight w:val="none"/>
        </w:rPr>
      </w:pPr>
      <w:bookmarkStart w:id="2114" w:name="_Toc13474"/>
      <w:bookmarkStart w:id="2115" w:name="_Toc534185823"/>
      <w:bookmarkStart w:id="2116" w:name="_Toc32071"/>
      <w:bookmarkStart w:id="2117" w:name="_Toc509218844"/>
      <w:r>
        <w:rPr>
          <w:rFonts w:ascii="宋体" w:hAnsi="宋体"/>
          <w:color w:val="auto"/>
          <w:sz w:val="52"/>
          <w:szCs w:val="52"/>
          <w:highlight w:val="none"/>
        </w:rPr>
        <w:t>第 二 卷</w:t>
      </w:r>
      <w:bookmarkEnd w:id="2114"/>
      <w:bookmarkEnd w:id="2115"/>
      <w:bookmarkEnd w:id="2116"/>
      <w:bookmarkEnd w:id="2117"/>
    </w:p>
    <w:p>
      <w:pPr>
        <w:spacing w:line="360" w:lineRule="auto"/>
        <w:rPr>
          <w:rFonts w:ascii="宋体" w:hAnsi="宋体"/>
          <w:color w:val="auto"/>
          <w:szCs w:val="20"/>
          <w:highlight w:val="none"/>
        </w:rPr>
      </w:pPr>
      <w:r>
        <w:rPr>
          <w:rFonts w:ascii="宋体" w:hAnsi="宋体"/>
          <w:color w:val="auto"/>
          <w:szCs w:val="20"/>
          <w:highlight w:val="none"/>
        </w:rPr>
        <w:br w:type="page"/>
      </w:r>
    </w:p>
    <w:p>
      <w:pPr>
        <w:pStyle w:val="3"/>
        <w:spacing w:line="360" w:lineRule="auto"/>
        <w:jc w:val="center"/>
        <w:rPr>
          <w:rFonts w:ascii="宋体" w:hAnsi="宋体"/>
          <w:color w:val="auto"/>
          <w:highlight w:val="none"/>
        </w:rPr>
      </w:pPr>
      <w:bookmarkStart w:id="2118" w:name="招标文件06章图纸"/>
      <w:bookmarkEnd w:id="2118"/>
      <w:bookmarkStart w:id="2119" w:name="_Toc430530519"/>
      <w:bookmarkStart w:id="2120" w:name="_Toc287620803"/>
      <w:bookmarkStart w:id="2121" w:name="_Toc22154"/>
      <w:bookmarkStart w:id="2122" w:name="_Toc287607861"/>
      <w:bookmarkStart w:id="2123" w:name="_Toc534185825"/>
      <w:bookmarkStart w:id="2124" w:name="_Toc8668"/>
      <w:bookmarkStart w:id="2125" w:name="_Toc509218846"/>
      <w:r>
        <w:rPr>
          <w:rFonts w:hint="eastAsia" w:ascii="宋体" w:hAnsi="宋体"/>
          <w:color w:val="auto"/>
          <w:highlight w:val="none"/>
        </w:rPr>
        <w:t>第六章  图纸</w:t>
      </w:r>
      <w:bookmarkEnd w:id="2119"/>
      <w:bookmarkEnd w:id="2120"/>
      <w:bookmarkEnd w:id="2121"/>
      <w:bookmarkEnd w:id="2122"/>
      <w:bookmarkEnd w:id="2123"/>
      <w:bookmarkEnd w:id="2124"/>
      <w:bookmarkEnd w:id="2125"/>
    </w:p>
    <w:p>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s="宋体"/>
          <w:color w:val="auto"/>
          <w:szCs w:val="21"/>
          <w:highlight w:val="none"/>
          <w:u w:val="single"/>
        </w:rPr>
        <w:t>重庆市公共资源交易网（酉阳县）（https://www.cqggzy.com/youyangweb/）</w:t>
      </w:r>
      <w:r>
        <w:rPr>
          <w:rFonts w:hint="eastAsia" w:ascii="宋体" w:hAnsi="宋体"/>
          <w:color w:val="auto"/>
          <w:szCs w:val="20"/>
          <w:highlight w:val="none"/>
        </w:rPr>
        <w:t>下载。</w:t>
      </w:r>
    </w:p>
    <w:p>
      <w:pPr>
        <w:spacing w:line="360" w:lineRule="auto"/>
        <w:rPr>
          <w:rFonts w:ascii="宋体" w:hAnsi="宋体"/>
          <w:color w:val="auto"/>
          <w:szCs w:val="20"/>
          <w:highlight w:val="none"/>
        </w:rPr>
      </w:pPr>
      <w:bookmarkStart w:id="2126" w:name="招标文件06章图纸01"/>
      <w:bookmarkEnd w:id="2126"/>
      <w:bookmarkStart w:id="2127" w:name="_Toc430530520"/>
      <w:bookmarkStart w:id="2128" w:name="_Toc287620804"/>
    </w:p>
    <w:bookmarkEnd w:id="2127"/>
    <w:bookmarkEnd w:id="2128"/>
    <w:p>
      <w:pPr>
        <w:spacing w:line="360" w:lineRule="auto"/>
        <w:rPr>
          <w:rFonts w:ascii="宋体" w:hAnsi="宋体"/>
          <w:color w:val="auto"/>
          <w:highlight w:val="none"/>
        </w:rPr>
      </w:pPr>
      <w:r>
        <w:rPr>
          <w:rFonts w:ascii="宋体" w:hAnsi="宋体"/>
          <w:color w:val="auto"/>
          <w:szCs w:val="20"/>
          <w:highlight w:val="none"/>
        </w:rPr>
        <w:br w:type="page"/>
      </w:r>
    </w:p>
    <w:p>
      <w:pPr>
        <w:pStyle w:val="3"/>
        <w:spacing w:before="0" w:after="0" w:line="360" w:lineRule="auto"/>
        <w:jc w:val="center"/>
        <w:rPr>
          <w:rFonts w:ascii="宋体" w:hAnsi="宋体"/>
          <w:color w:val="auto"/>
          <w:sz w:val="52"/>
          <w:szCs w:val="52"/>
          <w:highlight w:val="none"/>
        </w:rPr>
      </w:pPr>
      <w:bookmarkStart w:id="2129" w:name="_Toc23313"/>
      <w:bookmarkStart w:id="2130" w:name="_Toc8804"/>
      <w:r>
        <w:rPr>
          <w:rFonts w:hint="eastAsia" w:ascii="宋体" w:hAnsi="宋体"/>
          <w:color w:val="auto"/>
          <w:sz w:val="52"/>
          <w:szCs w:val="52"/>
          <w:highlight w:val="none"/>
        </w:rPr>
        <w:t>第 三 卷</w:t>
      </w:r>
      <w:bookmarkEnd w:id="2129"/>
      <w:bookmarkEnd w:id="2130"/>
      <w:bookmarkStart w:id="2131" w:name="_Toc509218847"/>
      <w:bookmarkStart w:id="2132" w:name="_Toc534185826"/>
      <w:bookmarkStart w:id="2133" w:name="_Toc13211764"/>
      <w:bookmarkStart w:id="2134" w:name="_Toc536796850"/>
      <w:bookmarkStart w:id="2135" w:name="_Toc536621880"/>
      <w:bookmarkStart w:id="2136" w:name="_Toc13210772"/>
      <w:bookmarkStart w:id="2137" w:name="_Toc536797390"/>
      <w:bookmarkStart w:id="2138" w:name="_Toc536796986"/>
      <w:bookmarkStart w:id="2139" w:name="_Toc536628344"/>
      <w:bookmarkStart w:id="2140" w:name="_Toc536797255"/>
      <w:bookmarkStart w:id="2141" w:name="_Toc536619968"/>
      <w:bookmarkStart w:id="2142" w:name="_Toc536797121"/>
      <w:bookmarkStart w:id="2143" w:name="_Toc536620100"/>
      <w:bookmarkStart w:id="2144" w:name="_Toc13211206"/>
    </w:p>
    <w:bookmarkEnd w:id="2131"/>
    <w:p>
      <w:pPr>
        <w:rPr>
          <w:color w:val="auto"/>
          <w:highlight w:val="none"/>
        </w:rPr>
      </w:pPr>
      <w:r>
        <w:rPr>
          <w:color w:val="auto"/>
          <w:highlight w:val="none"/>
        </w:rPr>
        <w:br w:type="page"/>
      </w:r>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pPr>
        <w:pStyle w:val="3"/>
        <w:spacing w:line="360" w:lineRule="auto"/>
        <w:jc w:val="center"/>
        <w:rPr>
          <w:rFonts w:ascii="宋体" w:hAnsi="宋体"/>
          <w:color w:val="auto"/>
          <w:highlight w:val="none"/>
        </w:rPr>
      </w:pPr>
      <w:bookmarkStart w:id="2145" w:name="招标文件07章技术标准和要求"/>
      <w:bookmarkEnd w:id="2145"/>
      <w:bookmarkStart w:id="2146" w:name="_Toc10757"/>
      <w:bookmarkStart w:id="2147" w:name="_Toc17170"/>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2146"/>
      <w:bookmarkEnd w:id="2147"/>
      <w:bookmarkStart w:id="2148" w:name="招标文件07章技术标准和要求01"/>
      <w:bookmarkEnd w:id="2148"/>
      <w:bookmarkStart w:id="2149" w:name="_Toc430530524"/>
      <w:bookmarkStart w:id="2150" w:name="_Toc287620808"/>
    </w:p>
    <w:bookmarkEnd w:id="2149"/>
    <w:bookmarkEnd w:id="2150"/>
    <w:p>
      <w:pPr>
        <w:spacing w:line="360" w:lineRule="auto"/>
        <w:jc w:val="center"/>
        <w:rPr>
          <w:rFonts w:ascii="宋体" w:hAnsi="宋体"/>
          <w:color w:val="auto"/>
          <w:szCs w:val="21"/>
          <w:highlight w:val="none"/>
        </w:rPr>
      </w:pPr>
      <w:r>
        <w:rPr>
          <w:rFonts w:ascii="宋体" w:hAnsi="宋体"/>
          <w:color w:val="auto"/>
          <w:szCs w:val="21"/>
          <w:highlight w:val="none"/>
        </w:rPr>
        <w:t>由比选人根据比选项目的实际情况编写</w:t>
      </w:r>
      <w:r>
        <w:rPr>
          <w:rFonts w:hint="eastAsia" w:ascii="宋体" w:hAnsi="宋体"/>
          <w:color w:val="auto"/>
          <w:szCs w:val="21"/>
          <w:highlight w:val="none"/>
        </w:rPr>
        <w:t>（如有）。</w:t>
      </w:r>
    </w:p>
    <w:p>
      <w:pPr>
        <w:spacing w:line="360" w:lineRule="auto"/>
        <w:rPr>
          <w:rFonts w:ascii="宋体" w:hAnsi="宋体"/>
          <w:color w:val="auto"/>
          <w:highlight w:val="none"/>
        </w:rPr>
      </w:pPr>
      <w:r>
        <w:rPr>
          <w:rFonts w:ascii="宋体" w:hAnsi="宋体"/>
          <w:color w:val="auto"/>
          <w:highlight w:val="none"/>
        </w:rPr>
        <w:br w:type="page"/>
      </w:r>
    </w:p>
    <w:p>
      <w:pPr>
        <w:pStyle w:val="3"/>
        <w:spacing w:before="0" w:after="0" w:line="360" w:lineRule="auto"/>
        <w:jc w:val="center"/>
        <w:rPr>
          <w:rFonts w:ascii="宋体" w:hAnsi="宋体"/>
          <w:color w:val="auto"/>
          <w:sz w:val="52"/>
          <w:szCs w:val="52"/>
          <w:highlight w:val="none"/>
        </w:rPr>
      </w:pPr>
      <w:bookmarkStart w:id="2151" w:name="_Toc509218849"/>
      <w:bookmarkStart w:id="2152" w:name="_Toc16166"/>
      <w:bookmarkStart w:id="2153" w:name="_Toc18822"/>
      <w:bookmarkStart w:id="2154" w:name="_Toc534185827"/>
      <w:r>
        <w:rPr>
          <w:rFonts w:ascii="宋体" w:hAnsi="宋体"/>
          <w:color w:val="auto"/>
          <w:sz w:val="52"/>
          <w:szCs w:val="52"/>
          <w:highlight w:val="none"/>
        </w:rPr>
        <w:t>第 四 卷</w:t>
      </w:r>
      <w:bookmarkEnd w:id="2151"/>
      <w:bookmarkEnd w:id="2152"/>
      <w:bookmarkEnd w:id="2153"/>
      <w:bookmarkEnd w:id="2154"/>
      <w:bookmarkStart w:id="2155" w:name="_Toc13211209"/>
      <w:bookmarkStart w:id="2156" w:name="_Toc536796989"/>
      <w:bookmarkStart w:id="2157" w:name="_Toc536796853"/>
      <w:bookmarkStart w:id="2158" w:name="_Toc536619970"/>
      <w:bookmarkStart w:id="2159" w:name="_Toc536797393"/>
      <w:bookmarkStart w:id="2160" w:name="_Toc536621883"/>
      <w:bookmarkStart w:id="2161" w:name="_Toc536797258"/>
      <w:bookmarkStart w:id="2162" w:name="_Toc536628347"/>
      <w:bookmarkStart w:id="2163" w:name="_Toc536620102"/>
      <w:bookmarkStart w:id="2164" w:name="_Toc536797124"/>
      <w:bookmarkStart w:id="2165" w:name="_Toc13210775"/>
      <w:bookmarkStart w:id="2166" w:name="_Toc534185828"/>
      <w:bookmarkStart w:id="2167" w:name="_Toc13211767"/>
      <w:bookmarkStart w:id="2168" w:name="_Toc509218850"/>
    </w:p>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Pr>
        <w:rPr>
          <w:color w:val="auto"/>
          <w:highlight w:val="none"/>
        </w:rPr>
      </w:pPr>
      <w:r>
        <w:rPr>
          <w:color w:val="auto"/>
          <w:highlight w:val="none"/>
        </w:rPr>
        <w:br w:type="page"/>
      </w:r>
      <w:bookmarkStart w:id="2169" w:name="招标文件08章投标文件格式"/>
      <w:bookmarkEnd w:id="2169"/>
      <w:bookmarkStart w:id="2170" w:name="_Toc287607865"/>
      <w:bookmarkStart w:id="2171" w:name="_Toc287620812"/>
    </w:p>
    <w:p>
      <w:pPr>
        <w:pStyle w:val="3"/>
        <w:spacing w:line="360" w:lineRule="auto"/>
        <w:jc w:val="center"/>
        <w:rPr>
          <w:rFonts w:ascii="宋体" w:hAnsi="宋体"/>
          <w:color w:val="auto"/>
          <w:highlight w:val="none"/>
        </w:rPr>
      </w:pPr>
      <w:bookmarkStart w:id="2172" w:name="_Toc23843"/>
      <w:bookmarkStart w:id="2173" w:name="_Toc430530528"/>
      <w:bookmarkStart w:id="2174" w:name="_Toc509218852"/>
      <w:bookmarkStart w:id="2175" w:name="_Toc534185829"/>
      <w:bookmarkStart w:id="2176" w:name="_Toc25783"/>
      <w:r>
        <w:rPr>
          <w:rFonts w:hint="eastAsia" w:ascii="宋体" w:hAnsi="宋体"/>
          <w:color w:val="auto"/>
          <w:highlight w:val="none"/>
        </w:rPr>
        <w:t>第八章  比选申请文件格式</w:t>
      </w:r>
      <w:bookmarkEnd w:id="2170"/>
      <w:bookmarkEnd w:id="2171"/>
      <w:bookmarkEnd w:id="2172"/>
      <w:bookmarkEnd w:id="2173"/>
      <w:bookmarkEnd w:id="2174"/>
      <w:bookmarkEnd w:id="2175"/>
      <w:bookmarkEnd w:id="2176"/>
    </w:p>
    <w:p>
      <w:pPr>
        <w:spacing w:line="360" w:lineRule="auto"/>
        <w:rPr>
          <w:rFonts w:ascii="宋体" w:hAnsi="宋体"/>
          <w:color w:val="auto"/>
          <w:sz w:val="32"/>
          <w:szCs w:val="32"/>
          <w:highlight w:val="none"/>
        </w:rPr>
      </w:pPr>
    </w:p>
    <w:p>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2177" w:name="_Toc224103493"/>
      <w:r>
        <w:rPr>
          <w:rFonts w:hint="eastAsia" w:ascii="宋体" w:hAnsi="宋体"/>
          <w:color w:val="auto"/>
          <w:sz w:val="36"/>
          <w:szCs w:val="36"/>
          <w:highlight w:val="none"/>
        </w:rPr>
        <w:t>目  录</w:t>
      </w:r>
      <w:bookmarkEnd w:id="2177"/>
    </w:p>
    <w:p>
      <w:pPr>
        <w:spacing w:line="360" w:lineRule="auto"/>
        <w:jc w:val="center"/>
        <w:rPr>
          <w:rFonts w:ascii="宋体" w:hAnsi="宋体"/>
          <w:color w:val="auto"/>
          <w:szCs w:val="20"/>
          <w:highlight w:val="none"/>
        </w:rPr>
      </w:pPr>
    </w:p>
    <w:p>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w:t>
      </w:r>
      <w:r>
        <w:rPr>
          <w:rFonts w:hint="eastAsia" w:ascii="宋体" w:hAnsi="宋体"/>
          <w:b/>
          <w:color w:val="auto"/>
          <w:highlight w:val="none"/>
        </w:rPr>
        <w:t>比选申请函</w:t>
      </w:r>
      <w:r>
        <w:rPr>
          <w:rFonts w:ascii="宋体" w:hAnsi="宋体"/>
          <w:b/>
          <w:color w:val="auto"/>
          <w:highlight w:val="none"/>
        </w:rPr>
        <w:t>部分</w:t>
      </w:r>
    </w:p>
    <w:p>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比选申请函</w:t>
      </w:r>
    </w:p>
    <w:p>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rPr>
        <w:t>比选申请函</w:t>
      </w:r>
      <w:r>
        <w:rPr>
          <w:rFonts w:ascii="宋体" w:hAnsi="宋体"/>
          <w:color w:val="auto"/>
          <w:highlight w:val="none"/>
        </w:rPr>
        <w:t>附录</w:t>
      </w:r>
    </w:p>
    <w:p>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低价风险担保提交承诺书（如有）</w:t>
      </w:r>
    </w:p>
    <w:p>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pPr>
        <w:spacing w:line="360" w:lineRule="auto"/>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、技术部分</w:t>
      </w:r>
    </w:p>
    <w:p>
      <w:pPr>
        <w:spacing w:line="360" w:lineRule="auto"/>
        <w:rPr>
          <w:rFonts w:ascii="宋体" w:hAnsi="宋体"/>
          <w:b/>
          <w:color w:val="auto"/>
          <w:highlight w:val="none"/>
        </w:rPr>
      </w:pPr>
      <w:r>
        <w:rPr>
          <w:rFonts w:hint="eastAsia" w:ascii="宋体" w:hAnsi="宋体"/>
          <w:b/>
          <w:color w:val="auto"/>
          <w:highlight w:val="none"/>
        </w:rPr>
        <w:t>四</w:t>
      </w:r>
      <w:r>
        <w:rPr>
          <w:rFonts w:ascii="宋体" w:hAnsi="宋体"/>
          <w:b/>
          <w:color w:val="auto"/>
          <w:highlight w:val="none"/>
        </w:rPr>
        <w:t>、</w:t>
      </w:r>
      <w:r>
        <w:rPr>
          <w:rFonts w:hint="eastAsia" w:ascii="宋体" w:hAnsi="宋体"/>
          <w:b/>
          <w:color w:val="auto"/>
          <w:highlight w:val="none"/>
        </w:rPr>
        <w:t>资格审查部分</w:t>
      </w:r>
    </w:p>
    <w:p>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）比选申请人基本情况表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三</w:t>
      </w:r>
      <w:r>
        <w:rPr>
          <w:rFonts w:ascii="宋体" w:hAnsi="宋体"/>
          <w:color w:val="auto"/>
          <w:highlight w:val="none"/>
        </w:rPr>
        <w:t>）项目管理机构</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四</w:t>
      </w:r>
      <w:r>
        <w:rPr>
          <w:rFonts w:ascii="宋体" w:hAnsi="宋体"/>
          <w:color w:val="auto"/>
          <w:highlight w:val="none"/>
        </w:rPr>
        <w:t>）</w:t>
      </w:r>
      <w:r>
        <w:rPr>
          <w:rFonts w:hint="eastAsia" w:ascii="宋体" w:hAnsi="宋体"/>
          <w:color w:val="auto"/>
          <w:highlight w:val="none"/>
        </w:rPr>
        <w:t>承诺</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五</w:t>
      </w:r>
      <w:r>
        <w:rPr>
          <w:rFonts w:ascii="宋体" w:hAnsi="宋体"/>
          <w:color w:val="auto"/>
          <w:highlight w:val="none"/>
        </w:rPr>
        <w:t>）其他资料</w:t>
      </w:r>
    </w:p>
    <w:p>
      <w:pPr>
        <w:autoSpaceDE w:val="0"/>
        <w:autoSpaceDN w:val="0"/>
        <w:adjustRightInd w:val="0"/>
        <w:spacing w:line="276" w:lineRule="auto"/>
        <w:ind w:right="-23"/>
        <w:jc w:val="left"/>
        <w:rPr>
          <w:rFonts w:ascii="宋体" w:hAnsi="宋体"/>
          <w:color w:val="auto"/>
          <w:kern w:val="0"/>
          <w:sz w:val="28"/>
          <w:szCs w:val="28"/>
          <w:highlight w:val="none"/>
          <w:u w:val="single"/>
        </w:rPr>
      </w:pPr>
      <w:r>
        <w:rPr>
          <w:rFonts w:ascii="宋体" w:hAnsi="宋体"/>
          <w:b/>
          <w:color w:val="auto"/>
          <w:kern w:val="0"/>
          <w:sz w:val="24"/>
          <w:highlight w:val="non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比选申请文件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比选申请函部分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 xml:space="preserve">   </w:t>
      </w:r>
      <w:r>
        <w:rPr>
          <w:rFonts w:ascii="宋体" w:hAnsi="宋体"/>
          <w:color w:val="auto"/>
          <w:w w:val="99"/>
          <w:kern w:val="0"/>
          <w:sz w:val="28"/>
          <w:szCs w:val="28"/>
          <w:highlight w:val="none"/>
        </w:rPr>
        <w:t>比选申请人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w:t>
      </w:r>
      <w:r>
        <w:rPr>
          <w:rFonts w:hint="eastAsia" w:ascii="宋体" w:hAnsi="宋体"/>
          <w:color w:val="auto"/>
          <w:w w:val="99"/>
          <w:kern w:val="0"/>
          <w:sz w:val="28"/>
          <w:szCs w:val="28"/>
          <w:highlight w:val="none"/>
        </w:rPr>
        <w:t>或</w:t>
      </w:r>
      <w:r>
        <w:rPr>
          <w:rFonts w:ascii="宋体" w:hAnsi="宋体"/>
          <w:color w:val="auto"/>
          <w:w w:val="99"/>
          <w:kern w:val="0"/>
          <w:sz w:val="28"/>
          <w:szCs w:val="28"/>
          <w:highlight w:val="none"/>
        </w:rPr>
        <w:t>其委托代理人：</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w:t>
      </w:r>
      <w:r>
        <w:rPr>
          <w:rFonts w:hint="eastAsia" w:ascii="宋体" w:hAnsi="宋体"/>
          <w:color w:val="auto"/>
          <w:kern w:val="0"/>
          <w:sz w:val="24"/>
          <w:highlight w:val="none"/>
        </w:rPr>
        <w:t>比选申请函</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w:t>
      </w:r>
      <w:r>
        <w:rPr>
          <w:rFonts w:hint="eastAsia" w:ascii="宋体" w:hAnsi="宋体"/>
          <w:color w:val="auto"/>
          <w:kern w:val="0"/>
          <w:sz w:val="24"/>
          <w:highlight w:val="none"/>
        </w:rPr>
        <w:t>比选申请函</w:t>
      </w:r>
      <w:r>
        <w:rPr>
          <w:rFonts w:ascii="宋体" w:hAnsi="宋体"/>
          <w:color w:val="auto"/>
          <w:kern w:val="0"/>
          <w:sz w:val="24"/>
          <w:highlight w:val="none"/>
        </w:rPr>
        <w:t>附录</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（四）</w:t>
      </w:r>
      <w:r>
        <w:rPr>
          <w:rFonts w:hint="eastAsia" w:ascii="宋体" w:hAnsi="宋体"/>
          <w:color w:val="auto"/>
          <w:kern w:val="0"/>
          <w:sz w:val="24"/>
          <w:highlight w:val="none"/>
        </w:rPr>
        <w:t>低价风险担保提交承诺书（如有）</w:t>
      </w:r>
    </w:p>
    <w:p>
      <w:pPr>
        <w:autoSpaceDE w:val="0"/>
        <w:autoSpaceDN w:val="0"/>
        <w:adjustRightInd w:val="0"/>
        <w:snapToGrid w:val="0"/>
        <w:spacing w:line="360" w:lineRule="auto"/>
        <w:jc w:val="left"/>
        <w:rPr>
          <w:rFonts w:ascii="宋体" w:hAnsi="宋体"/>
          <w:color w:val="auto"/>
          <w:w w:val="99"/>
          <w:kern w:val="0"/>
          <w:sz w:val="28"/>
          <w:szCs w:val="28"/>
          <w:highlight w:val="none"/>
        </w:rPr>
      </w:pPr>
    </w:p>
    <w:p>
      <w:pPr>
        <w:pStyle w:val="5"/>
        <w:spacing w:before="0" w:after="0" w:line="400" w:lineRule="exact"/>
        <w:jc w:val="center"/>
        <w:rPr>
          <w:rFonts w:ascii="宋体" w:hAnsi="宋体"/>
          <w:b w:val="0"/>
          <w:color w:val="auto"/>
          <w:highlight w:val="none"/>
        </w:rPr>
      </w:pPr>
      <w:bookmarkStart w:id="2178" w:name="_Toc287607867"/>
      <w:bookmarkStart w:id="2179" w:name="_Toc287620814"/>
      <w:bookmarkStart w:id="2180" w:name="_Toc430530530"/>
      <w:bookmarkStart w:id="2181" w:name="_Toc534185831"/>
      <w:bookmarkStart w:id="2182" w:name="_Toc277082643"/>
      <w:bookmarkStart w:id="2183" w:name="_Toc509218854"/>
      <w:bookmarkStart w:id="2184" w:name="_Toc224103495"/>
      <w:r>
        <w:rPr>
          <w:rFonts w:ascii="宋体" w:hAnsi="宋体"/>
          <w:color w:val="auto"/>
          <w:highlight w:val="none"/>
        </w:rPr>
        <w:br w:type="page"/>
      </w:r>
      <w:bookmarkStart w:id="2185" w:name="_Toc25355"/>
      <w:bookmarkStart w:id="2186" w:name="_Toc26071"/>
      <w:r>
        <w:rPr>
          <w:rFonts w:hint="eastAsia"/>
          <w:color w:val="auto"/>
          <w:highlight w:val="none"/>
        </w:rPr>
        <w:t>（一）</w:t>
      </w:r>
      <w:bookmarkEnd w:id="2178"/>
      <w:bookmarkEnd w:id="2179"/>
      <w:bookmarkEnd w:id="2180"/>
      <w:bookmarkEnd w:id="2181"/>
      <w:bookmarkEnd w:id="2182"/>
      <w:bookmarkEnd w:id="2183"/>
      <w:bookmarkEnd w:id="2184"/>
      <w:bookmarkEnd w:id="2185"/>
      <w:bookmarkEnd w:id="2186"/>
      <w:r>
        <w:rPr>
          <w:rFonts w:hint="eastAsia"/>
          <w:color w:val="auto"/>
          <w:highlight w:val="none"/>
        </w:rPr>
        <w:t>比选申请函</w:t>
      </w:r>
    </w:p>
    <w:p>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（比选人名称）</w:t>
      </w:r>
      <w:r>
        <w:rPr>
          <w:rFonts w:ascii="宋体" w:hAnsi="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竞争性比选文件的全部内容，愿意以人民币（大写）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达到竞争性比选文件的要求</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rPr>
        <w:t>竞争性比选文件的要求</w:t>
      </w:r>
      <w:r>
        <w:rPr>
          <w:rFonts w:ascii="宋体" w:hAnsi="宋体"/>
          <w:snapToGrid w:val="0"/>
          <w:color w:val="auto"/>
          <w:kern w:val="0"/>
          <w:szCs w:val="21"/>
          <w:highlight w:val="none"/>
        </w:rPr>
        <w:t>。</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响应竞争性比选文件规定的投标有效期，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w:t>
      </w:r>
    </w:p>
    <w:p>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rPr>
        <w:t>比选申请函</w:t>
      </w:r>
      <w:r>
        <w:rPr>
          <w:rFonts w:ascii="宋体" w:hAnsi="宋体"/>
          <w:snapToGrid w:val="0"/>
          <w:color w:val="auto"/>
          <w:kern w:val="0"/>
          <w:szCs w:val="21"/>
          <w:highlight w:val="none"/>
        </w:rPr>
        <w:t>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rPr>
        <w:t>比选申请函</w:t>
      </w:r>
      <w:r>
        <w:rPr>
          <w:rFonts w:ascii="宋体" w:hAnsi="宋体"/>
          <w:snapToGrid w:val="0"/>
          <w:color w:val="auto"/>
          <w:kern w:val="0"/>
          <w:szCs w:val="21"/>
          <w:highlight w:val="none"/>
        </w:rPr>
        <w:t>递交的</w:t>
      </w:r>
      <w:r>
        <w:rPr>
          <w:rFonts w:hint="eastAsia" w:ascii="宋体" w:hAnsi="宋体"/>
          <w:snapToGrid w:val="0"/>
          <w:color w:val="auto"/>
          <w:kern w:val="0"/>
          <w:szCs w:val="21"/>
          <w:highlight w:val="none"/>
        </w:rPr>
        <w:t>比选申请函</w:t>
      </w:r>
      <w:r>
        <w:rPr>
          <w:rFonts w:ascii="宋体" w:hAnsi="宋体"/>
          <w:snapToGrid w:val="0"/>
          <w:color w:val="auto"/>
          <w:kern w:val="0"/>
          <w:szCs w:val="21"/>
          <w:highlight w:val="none"/>
        </w:rPr>
        <w:t>附录属于合同文件的组成部分。</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（3）我方承诺按照竞争性比选文件规定向你方递交履约担保。</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（5）我方承诺以不低于竞争性比选文件第七章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比选申请文件</w:t>
      </w:r>
      <w:r>
        <w:rPr>
          <w:rFonts w:ascii="宋体" w:hAnsi="宋体"/>
          <w:snapToGrid w:val="0"/>
          <w:color w:val="auto"/>
          <w:spacing w:val="-2"/>
          <w:kern w:val="0"/>
          <w:szCs w:val="21"/>
          <w:highlight w:val="none"/>
        </w:rPr>
        <w:t>及有关资料内容完整、真实和准确，且不存在第二章“比选申请人</w:t>
      </w:r>
      <w:r>
        <w:rPr>
          <w:rFonts w:ascii="宋体" w:hAnsi="宋体"/>
          <w:snapToGrid w:val="0"/>
          <w:color w:val="auto"/>
          <w:kern w:val="0"/>
          <w:szCs w:val="21"/>
          <w:highlight w:val="none"/>
        </w:rPr>
        <w:t>须知”第 1.4.3 项规定的任何一种情形。同时我方承诺接受竞争性比选文件及附件、澄清及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pPr>
        <w:tabs>
          <w:tab w:val="left" w:pos="8300"/>
        </w:tabs>
        <w:autoSpaceDE w:val="0"/>
        <w:autoSpaceDN w:val="0"/>
        <w:adjustRightInd w:val="0"/>
        <w:spacing w:line="400" w:lineRule="exact"/>
        <w:ind w:firstLine="420" w:firstLineChars="200"/>
        <w:jc w:val="right"/>
        <w:rPr>
          <w:rFonts w:ascii="宋体" w:hAnsi="宋体"/>
          <w:snapToGrid w:val="0"/>
          <w:color w:val="auto"/>
          <w:kern w:val="0"/>
          <w:sz w:val="20"/>
          <w:szCs w:val="20"/>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5"/>
        <w:jc w:val="center"/>
        <w:rPr>
          <w:rFonts w:ascii="宋体" w:hAnsi="宋体"/>
          <w:snapToGrid w:val="0"/>
          <w:color w:val="auto"/>
          <w:kern w:val="0"/>
          <w:szCs w:val="21"/>
          <w:highlight w:val="none"/>
        </w:rPr>
      </w:pPr>
      <w:bookmarkStart w:id="2187" w:name="_Toc224103496"/>
      <w:bookmarkStart w:id="2188" w:name="_Toc430530531"/>
      <w:bookmarkStart w:id="2189" w:name="_Toc287607868"/>
      <w:bookmarkStart w:id="2190" w:name="_Toc277082644"/>
      <w:bookmarkStart w:id="2191" w:name="_Toc287620815"/>
      <w:r>
        <w:rPr>
          <w:rFonts w:ascii="宋体" w:hAnsi="宋体"/>
          <w:color w:val="auto"/>
          <w:sz w:val="28"/>
          <w:highlight w:val="none"/>
        </w:rPr>
        <w:br w:type="page"/>
      </w:r>
      <w:bookmarkStart w:id="2192" w:name="_Toc509218855"/>
      <w:bookmarkStart w:id="2193" w:name="_Toc534185832"/>
      <w:bookmarkStart w:id="2194" w:name="_Toc26773"/>
      <w:bookmarkStart w:id="2195" w:name="_Toc30967"/>
      <w:r>
        <w:rPr>
          <w:color w:val="auto"/>
          <w:highlight w:val="none"/>
        </w:rPr>
        <w:t>（二）</w:t>
      </w:r>
      <w:r>
        <w:rPr>
          <w:rFonts w:hint="eastAsia"/>
          <w:color w:val="auto"/>
          <w:highlight w:val="none"/>
        </w:rPr>
        <w:t>比选申请函</w:t>
      </w:r>
      <w:r>
        <w:rPr>
          <w:color w:val="auto"/>
          <w:highlight w:val="none"/>
        </w:rPr>
        <w:t>附录</w:t>
      </w:r>
      <w:bookmarkEnd w:id="2187"/>
      <w:bookmarkEnd w:id="2188"/>
      <w:bookmarkEnd w:id="2189"/>
      <w:bookmarkEnd w:id="2190"/>
      <w:bookmarkEnd w:id="2191"/>
      <w:bookmarkEnd w:id="2192"/>
      <w:bookmarkEnd w:id="2193"/>
      <w:bookmarkEnd w:id="2194"/>
      <w:bookmarkEnd w:id="2195"/>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日历天</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不允许</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color w:val="auto"/>
                <w:szCs w:val="21"/>
                <w:highlight w:val="none"/>
              </w:rPr>
              <w:t>符合强制性质量标准，符合</w:t>
            </w:r>
            <w:r>
              <w:rPr>
                <w:rFonts w:ascii="宋体" w:hAnsi="宋体"/>
                <w:color w:val="auto"/>
                <w:szCs w:val="21"/>
                <w:highlight w:val="none"/>
              </w:rPr>
              <w:t>国家和重庆市现行有关施工质量验收规范要求，并达到合格标准。</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bl>
    <w:p>
      <w:pPr>
        <w:spacing w:line="360" w:lineRule="auto"/>
        <w:rPr>
          <w:rFonts w:ascii="宋体" w:hAnsi="宋体"/>
          <w:snapToGrid w:val="0"/>
          <w:color w:val="auto"/>
          <w:w w:val="99"/>
          <w:highlight w:val="none"/>
        </w:rPr>
      </w:pPr>
    </w:p>
    <w:p>
      <w:pPr>
        <w:spacing w:line="360" w:lineRule="auto"/>
        <w:rPr>
          <w:rFonts w:ascii="宋体" w:hAnsi="宋体"/>
          <w:snapToGrid w:val="0"/>
          <w:color w:val="auto"/>
          <w:highlight w:val="none"/>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及</w:t>
      </w:r>
      <w:r>
        <w:rPr>
          <w:rFonts w:ascii="宋体" w:hAnsi="宋体"/>
          <w:snapToGrid w:val="0"/>
          <w:color w:val="auto"/>
          <w:kern w:val="0"/>
          <w:szCs w:val="21"/>
          <w:highlight w:val="none"/>
        </w:rPr>
        <w:t>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pPr>
        <w:pStyle w:val="5"/>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2196" w:name="_Toc287607869"/>
      <w:bookmarkStart w:id="2197" w:name="_Toc224103497"/>
      <w:bookmarkStart w:id="2198" w:name="_Toc14681"/>
      <w:bookmarkStart w:id="2199" w:name="_Toc430530532"/>
      <w:bookmarkStart w:id="2200" w:name="_Toc287620816"/>
      <w:bookmarkStart w:id="2201" w:name="_Toc277082645"/>
      <w:bookmarkStart w:id="2202" w:name="_Toc8650"/>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2196"/>
      <w:bookmarkEnd w:id="2197"/>
      <w:bookmarkEnd w:id="2198"/>
      <w:bookmarkEnd w:id="2199"/>
      <w:bookmarkEnd w:id="2200"/>
      <w:bookmarkEnd w:id="2201"/>
      <w:bookmarkEnd w:id="2202"/>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比选申请人名称：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（比选申请人名称）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比选申请人：</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spacing w:line="360" w:lineRule="auto"/>
        <w:ind w:firstLine="420" w:firstLineChars="200"/>
        <w:rPr>
          <w:rFonts w:ascii="宋体" w:hAnsi="宋体"/>
          <w:color w:val="auto"/>
          <w:kern w:val="0"/>
          <w:highlight w:val="none"/>
        </w:rPr>
      </w:pPr>
      <w:r>
        <w:rPr>
          <w:rFonts w:ascii="宋体" w:hAnsi="宋体"/>
          <w:color w:val="auto"/>
          <w:highlight w:val="none"/>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比选申请人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比选申请文件</w:t>
      </w:r>
      <w:r>
        <w:rPr>
          <w:rFonts w:ascii="宋体" w:hAnsi="宋体"/>
          <w:color w:val="auto"/>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w w:val="200"/>
          <w:kern w:val="0"/>
          <w:szCs w:val="21"/>
          <w:highlight w:val="none"/>
          <w:u w:val="single"/>
        </w:rPr>
      </w:pPr>
      <w:r>
        <w:rPr>
          <w:rFonts w:hint="eastAsia" w:ascii="宋体" w:hAnsi="宋体"/>
          <w:color w:val="auto"/>
          <w:kern w:val="0"/>
          <w:szCs w:val="21"/>
          <w:highlight w:val="none"/>
        </w:rPr>
        <w:t>附：法定代表人和委托代理人身份证复印件（双面）</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比选申请文件</w:t>
      </w:r>
      <w:r>
        <w:rPr>
          <w:rFonts w:ascii="宋体" w:hAnsi="宋体"/>
          <w:color w:val="auto"/>
          <w:kern w:val="0"/>
          <w:szCs w:val="21"/>
          <w:highlight w:val="none"/>
        </w:rPr>
        <w:t>一并递交。另外须准备一份授权委托书原件在开标现场出具。</w:t>
      </w:r>
    </w:p>
    <w:p>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spacing w:line="360" w:lineRule="auto"/>
        <w:ind w:firstLine="420" w:firstLineChars="200"/>
        <w:rPr>
          <w:rFonts w:ascii="宋体" w:hAnsi="宋体"/>
          <w:color w:val="auto"/>
          <w:highlight w:val="none"/>
        </w:rPr>
      </w:pPr>
      <w:r>
        <w:rPr>
          <w:rFonts w:ascii="宋体" w:hAnsi="宋体"/>
          <w:color w:val="auto"/>
          <w:highlight w:val="none"/>
        </w:rPr>
        <w:br w:type="page"/>
      </w:r>
    </w:p>
    <w:p>
      <w:pPr>
        <w:pStyle w:val="5"/>
        <w:jc w:val="center"/>
        <w:rPr>
          <w:color w:val="auto"/>
          <w:highlight w:val="none"/>
        </w:rPr>
      </w:pPr>
      <w:bookmarkStart w:id="2203" w:name="_Toc287620817"/>
      <w:bookmarkStart w:id="2204" w:name="_Toc287607870"/>
      <w:bookmarkStart w:id="2205" w:name="_Toc224103498"/>
      <w:bookmarkStart w:id="2206" w:name="_Toc277082646"/>
      <w:bookmarkStart w:id="2207" w:name="_Toc13933"/>
      <w:bookmarkStart w:id="2208" w:name="_Toc10326"/>
      <w:bookmarkStart w:id="2209" w:name="_Toc430530533"/>
      <w:r>
        <w:rPr>
          <w:color w:val="auto"/>
          <w:highlight w:val="none"/>
        </w:rPr>
        <w:t>（四）</w:t>
      </w:r>
      <w:bookmarkEnd w:id="2203"/>
      <w:bookmarkEnd w:id="2204"/>
      <w:bookmarkEnd w:id="2205"/>
      <w:bookmarkEnd w:id="2206"/>
      <w:bookmarkStart w:id="2210" w:name="_Toc287607871"/>
      <w:bookmarkStart w:id="2211" w:name="_Toc277082647"/>
      <w:bookmarkStart w:id="2212" w:name="_Toc287620818"/>
      <w:bookmarkStart w:id="2213" w:name="_Toc224103499"/>
      <w:r>
        <w:rPr>
          <w:rFonts w:hint="eastAsia"/>
          <w:color w:val="auto"/>
          <w:highlight w:val="none"/>
        </w:rPr>
        <w:t>低价风险担保提交承诺书</w:t>
      </w:r>
      <w:bookmarkEnd w:id="2207"/>
      <w:bookmarkEnd w:id="2208"/>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（投标报价低于比选项目最高限价的85%时采用）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（比选人名称）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（比选申请人名称）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竞争性比选文件的规定递交低价风险担保。同时，我公司已落实低价风险担保的提交方案，承诺如采用保函形式提交低价风险担保，保函的格式和内容符合竞争性比选文件的要求。否则，我公司愿承担竞争性比选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pStyle w:val="2"/>
        <w:rPr>
          <w:rFonts w:ascii="宋体" w:hAnsi="宋体"/>
          <w:snapToGrid w:val="0"/>
          <w:color w:val="auto"/>
          <w:kern w:val="0"/>
          <w:sz w:val="32"/>
          <w:szCs w:val="32"/>
          <w:highlight w:val="none"/>
        </w:rPr>
      </w:pPr>
    </w:p>
    <w:p>
      <w:pPr>
        <w:pStyle w:val="9"/>
        <w:tabs>
          <w:tab w:val="left" w:pos="315"/>
        </w:tabs>
        <w:spacing w:before="156" w:beforeLines="50" w:line="500" w:lineRule="exact"/>
        <w:ind w:firstLine="640" w:firstLineChars="200"/>
        <w:rPr>
          <w:rFonts w:ascii="宋体" w:hAnsi="宋体" w:eastAsia="宋体"/>
          <w:b/>
          <w:color w:val="auto"/>
          <w:sz w:val="21"/>
          <w:szCs w:val="21"/>
          <w:highlight w:val="none"/>
        </w:rPr>
      </w:pPr>
      <w:bookmarkStart w:id="2214" w:name="_Toc27171"/>
      <w:r>
        <w:rPr>
          <w:rFonts w:hint="eastAsia" w:ascii="宋体" w:hAnsi="宋体"/>
          <w:snapToGrid w:val="0"/>
          <w:color w:val="auto"/>
          <w:sz w:val="32"/>
          <w:szCs w:val="32"/>
          <w:highlight w:val="none"/>
        </w:rPr>
        <w:br w:type="page"/>
      </w:r>
      <w:bookmarkEnd w:id="2209"/>
      <w:bookmarkEnd w:id="2210"/>
      <w:bookmarkEnd w:id="2211"/>
      <w:bookmarkEnd w:id="2212"/>
      <w:bookmarkEnd w:id="2213"/>
      <w:bookmarkEnd w:id="2214"/>
    </w:p>
    <w:p>
      <w:pPr>
        <w:tabs>
          <w:tab w:val="left" w:pos="2580"/>
          <w:tab w:val="left" w:pos="5940"/>
        </w:tabs>
        <w:autoSpaceDE w:val="0"/>
        <w:autoSpaceDN w:val="0"/>
        <w:adjustRightInd w:val="0"/>
        <w:snapToGrid w:val="0"/>
        <w:spacing w:line="360" w:lineRule="auto"/>
        <w:jc w:val="left"/>
        <w:rPr>
          <w:rFonts w:ascii="宋体" w:hAnsi="宋体"/>
          <w:color w:val="auto"/>
          <w:highlight w:val="none"/>
        </w:rPr>
      </w:pPr>
      <w:bookmarkStart w:id="2215" w:name="_Toc287607872"/>
      <w:bookmarkStart w:id="2216" w:name="_Toc287620819"/>
      <w:bookmarkStart w:id="2217" w:name="_Toc224103500"/>
      <w:bookmarkStart w:id="2218" w:name="_Toc430530534"/>
    </w:p>
    <w:p>
      <w:pPr>
        <w:pStyle w:val="4"/>
        <w:spacing w:line="360" w:lineRule="auto"/>
        <w:jc w:val="center"/>
        <w:rPr>
          <w:rFonts w:ascii="宋体" w:hAnsi="宋体"/>
          <w:b w:val="0"/>
          <w:bCs w:val="0"/>
          <w:color w:val="auto"/>
          <w:sz w:val="44"/>
          <w:szCs w:val="44"/>
          <w:highlight w:val="none"/>
        </w:rPr>
      </w:pPr>
      <w:bookmarkStart w:id="2219" w:name="_Toc23891"/>
      <w:bookmarkStart w:id="2220" w:name="_Toc26421"/>
      <w:r>
        <w:rPr>
          <w:rFonts w:hint="eastAsia" w:ascii="宋体" w:hAnsi="宋体"/>
          <w:b w:val="0"/>
          <w:bCs w:val="0"/>
          <w:color w:val="auto"/>
          <w:sz w:val="44"/>
          <w:szCs w:val="44"/>
          <w:highlight w:val="none"/>
        </w:rPr>
        <w:t>二、经济部分</w:t>
      </w:r>
      <w:bookmarkEnd w:id="2215"/>
      <w:bookmarkEnd w:id="2216"/>
      <w:bookmarkEnd w:id="2217"/>
      <w:bookmarkEnd w:id="2218"/>
      <w:bookmarkEnd w:id="2219"/>
      <w:bookmarkEnd w:id="2220"/>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28"/>
          <w:szCs w:val="28"/>
          <w:highlight w:val="none"/>
        </w:rPr>
      </w:pP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比选申请文件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 xml:space="preserve">   </w:t>
      </w:r>
      <w:r>
        <w:rPr>
          <w:rFonts w:ascii="宋体" w:hAnsi="宋体"/>
          <w:color w:val="auto"/>
          <w:w w:val="99"/>
          <w:kern w:val="0"/>
          <w:sz w:val="28"/>
          <w:szCs w:val="28"/>
          <w:highlight w:val="none"/>
        </w:rPr>
        <w:t>比选申请人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目录由比选申请人自行编制]</w:t>
      </w: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2221" w:name="_Toc287607873"/>
      <w:bookmarkStart w:id="2222" w:name="_Toc287620820"/>
      <w:bookmarkStart w:id="2223" w:name="_Toc430530535"/>
      <w:bookmarkStart w:id="2224" w:name="_Toc224103501"/>
      <w:bookmarkStart w:id="2225" w:name="_Toc277082648"/>
    </w:p>
    <w:p>
      <w:pPr>
        <w:pStyle w:val="5"/>
        <w:jc w:val="center"/>
        <w:rPr>
          <w:color w:val="auto"/>
          <w:highlight w:val="none"/>
        </w:rPr>
      </w:pPr>
      <w:bookmarkStart w:id="2226" w:name="_Toc14339"/>
      <w:bookmarkStart w:id="2227" w:name="_Toc28475"/>
      <w:r>
        <w:rPr>
          <w:rFonts w:hint="eastAsia"/>
          <w:color w:val="auto"/>
          <w:highlight w:val="none"/>
        </w:rPr>
        <w:t>（一）已标价工程量清单</w:t>
      </w:r>
      <w:bookmarkEnd w:id="2221"/>
      <w:bookmarkEnd w:id="2222"/>
      <w:bookmarkEnd w:id="2223"/>
      <w:bookmarkEnd w:id="2224"/>
      <w:bookmarkEnd w:id="2225"/>
      <w:bookmarkEnd w:id="2226"/>
      <w:bookmarkEnd w:id="2227"/>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autoSpaceDE w:val="0"/>
        <w:autoSpaceDN w:val="0"/>
        <w:adjustRightInd w:val="0"/>
        <w:snapToGrid w:val="0"/>
        <w:spacing w:line="360" w:lineRule="auto"/>
        <w:jc w:val="left"/>
        <w:rPr>
          <w:rFonts w:ascii="宋体" w:hAnsi="宋体"/>
          <w:color w:val="auto"/>
          <w:kern w:val="0"/>
          <w:sz w:val="24"/>
          <w:szCs w:val="21"/>
          <w:highlight w:val="none"/>
        </w:rPr>
      </w:pPr>
      <w:bookmarkStart w:id="2228" w:name="_Toc430530536"/>
      <w:bookmarkStart w:id="2229" w:name="_Toc224103502"/>
      <w:bookmarkStart w:id="2230" w:name="_Toc287620821"/>
      <w:bookmarkStart w:id="2231" w:name="_Toc287607874"/>
      <w:r>
        <w:rPr>
          <w:rFonts w:ascii="宋体" w:hAnsi="宋体"/>
          <w:color w:val="auto"/>
          <w:highlight w:val="none"/>
        </w:rPr>
        <w:br w:type="page"/>
      </w:r>
    </w:p>
    <w:p>
      <w:pPr>
        <w:pStyle w:val="4"/>
        <w:spacing w:line="360" w:lineRule="auto"/>
        <w:jc w:val="center"/>
        <w:rPr>
          <w:rFonts w:ascii="宋体" w:hAnsi="宋体"/>
          <w:b w:val="0"/>
          <w:bCs w:val="0"/>
          <w:color w:val="auto"/>
          <w:sz w:val="44"/>
          <w:szCs w:val="44"/>
          <w:highlight w:val="none"/>
        </w:rPr>
      </w:pPr>
      <w:bookmarkStart w:id="2232" w:name="_Toc19083"/>
      <w:bookmarkStart w:id="2233" w:name="_Toc29644"/>
      <w:r>
        <w:rPr>
          <w:rFonts w:hint="eastAsia" w:ascii="宋体" w:hAnsi="宋体"/>
          <w:b w:val="0"/>
          <w:bCs w:val="0"/>
          <w:color w:val="auto"/>
          <w:sz w:val="44"/>
          <w:szCs w:val="44"/>
          <w:highlight w:val="none"/>
        </w:rPr>
        <w:t>三、技术部分</w:t>
      </w:r>
      <w:bookmarkEnd w:id="2228"/>
      <w:bookmarkEnd w:id="2229"/>
      <w:bookmarkEnd w:id="2232"/>
      <w:bookmarkEnd w:id="2233"/>
    </w:p>
    <w:bookmarkEnd w:id="2230"/>
    <w:bookmarkEnd w:id="2231"/>
    <w:p>
      <w:pPr>
        <w:autoSpaceDE w:val="0"/>
        <w:autoSpaceDN w:val="0"/>
        <w:adjustRightInd w:val="0"/>
        <w:snapToGrid w:val="0"/>
        <w:spacing w:line="360" w:lineRule="auto"/>
        <w:jc w:val="center"/>
        <w:rPr>
          <w:rFonts w:ascii="宋体" w:hAnsi="宋体"/>
          <w:color w:val="auto"/>
          <w:kern w:val="0"/>
          <w:sz w:val="36"/>
          <w:szCs w:val="36"/>
          <w:highlight w:val="none"/>
        </w:rPr>
      </w:pPr>
      <w:r>
        <w:rPr>
          <w:color w:val="auto"/>
          <w:highlight w:val="none"/>
        </w:rPr>
        <w:br w:type="page"/>
      </w:r>
    </w:p>
    <w:p>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32"/>
          <w:szCs w:val="32"/>
          <w:highlight w:val="none"/>
        </w:rPr>
      </w:pPr>
    </w:p>
    <w:p>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目录由比选申请人自行编制]</w:t>
      </w: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highlight w:val="none"/>
        </w:rPr>
        <w:br w:type="page"/>
      </w:r>
      <w:bookmarkStart w:id="2234" w:name="_Toc15498"/>
      <w:bookmarkStart w:id="2235" w:name="_Toc299"/>
      <w:r>
        <w:rPr>
          <w:rStyle w:val="201"/>
          <w:rFonts w:hint="eastAsia"/>
          <w:color w:val="auto"/>
          <w:highlight w:val="none"/>
        </w:rPr>
        <w:t>（一）技术方案</w:t>
      </w:r>
      <w:bookmarkEnd w:id="2234"/>
      <w:bookmarkEnd w:id="2235"/>
    </w:p>
    <w:p>
      <w:pPr>
        <w:autoSpaceDE w:val="0"/>
        <w:autoSpaceDN w:val="0"/>
        <w:adjustRightInd w:val="0"/>
        <w:snapToGrid w:val="0"/>
        <w:spacing w:line="360" w:lineRule="auto"/>
        <w:jc w:val="left"/>
        <w:rPr>
          <w:rFonts w:ascii="宋体" w:hAnsi="宋体"/>
          <w:color w:val="auto"/>
          <w:kern w:val="0"/>
          <w:sz w:val="12"/>
          <w:szCs w:val="12"/>
          <w:highlight w:val="none"/>
        </w:rPr>
      </w:pPr>
    </w:p>
    <w:p>
      <w:pPr>
        <w:pStyle w:val="2"/>
        <w:spacing w:line="360" w:lineRule="auto"/>
        <w:ind w:firstLine="420" w:firstLineChars="200"/>
        <w:jc w:val="center"/>
        <w:rPr>
          <w:rFonts w:ascii="宋体" w:hAnsi="宋体"/>
          <w:i/>
          <w:color w:val="auto"/>
          <w:kern w:val="0"/>
          <w:szCs w:val="21"/>
          <w:highlight w:val="none"/>
        </w:rPr>
      </w:pPr>
      <w:r>
        <w:rPr>
          <w:rFonts w:hint="eastAsia" w:ascii="宋体" w:hAnsi="宋体"/>
          <w:i/>
          <w:color w:val="auto"/>
          <w:kern w:val="0"/>
          <w:szCs w:val="21"/>
          <w:highlight w:val="none"/>
        </w:rPr>
        <w:t>[提示：比选申请人应根据竞争性比选文件的要求编制技术方案]</w:t>
      </w:r>
    </w:p>
    <w:p>
      <w:pPr>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1.</w:t>
      </w:r>
      <w:r>
        <w:rPr>
          <w:color w:val="auto"/>
          <w:highlight w:val="none"/>
        </w:rPr>
        <w:t>比选申请人编制技术方案的要求：编制时应采用文字并结合图表形式说明施工方法； 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ascii="宋体" w:hAnsi="宋体"/>
          <w:color w:val="auto"/>
          <w:kern w:val="0"/>
          <w:szCs w:val="21"/>
          <w:highlight w:val="none"/>
        </w:rPr>
        <w:t>。</w:t>
      </w:r>
    </w:p>
    <w:p>
      <w:pPr>
        <w:tabs>
          <w:tab w:val="left" w:pos="735"/>
          <w:tab w:val="left" w:pos="840"/>
          <w:tab w:val="left" w:pos="1050"/>
          <w:tab w:val="left" w:pos="1700"/>
        </w:tabs>
        <w:autoSpaceDE w:val="0"/>
        <w:autoSpaceDN w:val="0"/>
        <w:adjustRightInd w:val="0"/>
        <w:snapToGrid w:val="0"/>
        <w:spacing w:line="360" w:lineRule="auto"/>
        <w:ind w:left="-2" w:leftChars="-1" w:firstLine="424" w:firstLineChars="202"/>
        <w:jc w:val="left"/>
        <w:rPr>
          <w:rFonts w:ascii="宋体" w:hAnsi="宋体"/>
          <w:color w:val="auto"/>
          <w:kern w:val="0"/>
          <w:szCs w:val="21"/>
          <w:highlight w:val="none"/>
        </w:rPr>
      </w:pPr>
      <w:r>
        <w:rPr>
          <w:rFonts w:ascii="宋体" w:hAnsi="宋体"/>
          <w:color w:val="auto"/>
          <w:kern w:val="0"/>
          <w:szCs w:val="21"/>
          <w:highlight w:val="none"/>
        </w:rPr>
        <w:t xml:space="preserve">2.技术方案除采用文字表述外可附下列图表，图表及格式要求附后。 </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附表一</w:t>
      </w:r>
      <w:r>
        <w:rPr>
          <w:rFonts w:hint="eastAsia" w:ascii="宋体" w:hAnsi="宋体"/>
          <w:color w:val="auto"/>
          <w:kern w:val="0"/>
          <w:szCs w:val="21"/>
          <w:highlight w:val="none"/>
        </w:rPr>
        <w:t xml:space="preserve">  </w:t>
      </w:r>
      <w:r>
        <w:rPr>
          <w:rFonts w:ascii="宋体" w:hAnsi="宋体"/>
          <w:color w:val="auto"/>
          <w:kern w:val="0"/>
          <w:szCs w:val="21"/>
          <w:highlight w:val="none"/>
        </w:rPr>
        <w:t>拟投入本标段的主要施工设备表</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附表二</w:t>
      </w:r>
      <w:r>
        <w:rPr>
          <w:rFonts w:hint="eastAsia" w:ascii="宋体" w:hAnsi="宋体"/>
          <w:color w:val="auto"/>
          <w:kern w:val="0"/>
          <w:szCs w:val="21"/>
          <w:highlight w:val="none"/>
        </w:rPr>
        <w:t xml:space="preserve">  </w:t>
      </w:r>
      <w:r>
        <w:rPr>
          <w:rFonts w:ascii="宋体" w:hAnsi="宋体"/>
          <w:color w:val="auto"/>
          <w:kern w:val="0"/>
          <w:szCs w:val="21"/>
          <w:highlight w:val="none"/>
        </w:rPr>
        <w:t>拟配备本标段的试验和检测仪器设备表</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附表三</w:t>
      </w:r>
      <w:r>
        <w:rPr>
          <w:rFonts w:hint="eastAsia" w:ascii="宋体" w:hAnsi="宋体"/>
          <w:color w:val="auto"/>
          <w:kern w:val="0"/>
          <w:szCs w:val="21"/>
          <w:highlight w:val="none"/>
        </w:rPr>
        <w:t xml:space="preserve">  </w:t>
      </w:r>
      <w:r>
        <w:rPr>
          <w:rFonts w:ascii="宋体" w:hAnsi="宋体"/>
          <w:color w:val="auto"/>
          <w:kern w:val="0"/>
          <w:szCs w:val="21"/>
          <w:highlight w:val="none"/>
        </w:rPr>
        <w:t>劳动力计划表</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附表四</w:t>
      </w:r>
      <w:r>
        <w:rPr>
          <w:rFonts w:hint="eastAsia" w:ascii="宋体" w:hAnsi="宋体"/>
          <w:color w:val="auto"/>
          <w:kern w:val="0"/>
          <w:szCs w:val="21"/>
          <w:highlight w:val="none"/>
        </w:rPr>
        <w:t xml:space="preserve">  </w:t>
      </w:r>
      <w:r>
        <w:rPr>
          <w:rFonts w:ascii="宋体" w:hAnsi="宋体"/>
          <w:color w:val="auto"/>
          <w:kern w:val="0"/>
          <w:szCs w:val="21"/>
          <w:highlight w:val="none"/>
        </w:rPr>
        <w:t>计划开、竣工日期和施工进度网络图</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附表五</w:t>
      </w:r>
      <w:r>
        <w:rPr>
          <w:rFonts w:hint="eastAsia" w:ascii="宋体" w:hAnsi="宋体"/>
          <w:color w:val="auto"/>
          <w:kern w:val="0"/>
          <w:szCs w:val="21"/>
          <w:highlight w:val="none"/>
        </w:rPr>
        <w:t xml:space="preserve">  </w:t>
      </w:r>
      <w:r>
        <w:rPr>
          <w:rFonts w:ascii="宋体" w:hAnsi="宋体"/>
          <w:color w:val="auto"/>
          <w:kern w:val="0"/>
          <w:szCs w:val="21"/>
          <w:highlight w:val="none"/>
        </w:rPr>
        <w:t>施工总平面图</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附表六</w:t>
      </w:r>
      <w:r>
        <w:rPr>
          <w:rFonts w:hint="eastAsia" w:ascii="宋体" w:hAnsi="宋体"/>
          <w:color w:val="auto"/>
          <w:kern w:val="0"/>
          <w:szCs w:val="21"/>
          <w:highlight w:val="none"/>
        </w:rPr>
        <w:t xml:space="preserve">  </w:t>
      </w:r>
      <w:r>
        <w:rPr>
          <w:rFonts w:ascii="宋体" w:hAnsi="宋体"/>
          <w:color w:val="auto"/>
          <w:kern w:val="0"/>
          <w:szCs w:val="21"/>
          <w:highlight w:val="none"/>
        </w:rPr>
        <w:t>临时用地表</w:t>
      </w:r>
    </w:p>
    <w:p>
      <w:pPr>
        <w:autoSpaceDE w:val="0"/>
        <w:autoSpaceDN w:val="0"/>
        <w:adjustRightInd w:val="0"/>
        <w:snapToGrid w:val="0"/>
        <w:spacing w:line="360" w:lineRule="auto"/>
        <w:jc w:val="left"/>
        <w:rPr>
          <w:rFonts w:ascii="宋体" w:hAnsi="宋体"/>
          <w:color w:val="auto"/>
          <w:kern w:val="0"/>
          <w:sz w:val="24"/>
          <w:highlight w:val="none"/>
        </w:rPr>
      </w:pPr>
    </w:p>
    <w:p>
      <w:pPr>
        <w:jc w:val="center"/>
        <w:rPr>
          <w:color w:val="auto"/>
          <w:sz w:val="32"/>
          <w:szCs w:val="32"/>
          <w:highlight w:val="none"/>
        </w:rPr>
      </w:pPr>
      <w:bookmarkStart w:id="2236" w:name="_Toc430530539"/>
      <w:bookmarkStart w:id="2237" w:name="_Toc287607876"/>
      <w:bookmarkStart w:id="2238" w:name="_Toc224103504"/>
      <w:bookmarkStart w:id="2239" w:name="_Toc287620823"/>
      <w:bookmarkStart w:id="2240" w:name="_Toc277082650"/>
      <w:bookmarkStart w:id="2241" w:name="_Toc224103507"/>
      <w:bookmarkStart w:id="2242" w:name="_Toc277082653"/>
      <w:bookmarkStart w:id="2243" w:name="_Toc287607879"/>
      <w:bookmarkStart w:id="2244" w:name="_Toc287620826"/>
      <w:r>
        <w:rPr>
          <w:color w:val="auto"/>
          <w:highlight w:val="none"/>
        </w:rPr>
        <w:br w:type="page"/>
      </w:r>
      <w:bookmarkStart w:id="2245" w:name="_Toc534185834"/>
      <w:bookmarkStart w:id="2246" w:name="_Toc509218857"/>
      <w:r>
        <w:rPr>
          <w:rFonts w:hint="eastAsia"/>
          <w:color w:val="auto"/>
          <w:sz w:val="32"/>
          <w:szCs w:val="32"/>
          <w:highlight w:val="none"/>
        </w:rPr>
        <w:t>附表一：拟投入本标段的主要施工设备表</w:t>
      </w:r>
      <w:bookmarkEnd w:id="2236"/>
      <w:bookmarkEnd w:id="2237"/>
      <w:bookmarkEnd w:id="2238"/>
      <w:bookmarkEnd w:id="2239"/>
      <w:bookmarkEnd w:id="2240"/>
      <w:bookmarkEnd w:id="2245"/>
      <w:bookmarkEnd w:id="2246"/>
    </w:p>
    <w:tbl>
      <w:tblPr>
        <w:tblStyle w:val="46"/>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176"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设备名称</w:t>
            </w:r>
          </w:p>
        </w:tc>
        <w:tc>
          <w:tcPr>
            <w:tcW w:w="824"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072"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28"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国别 产地</w:t>
            </w:r>
          </w:p>
        </w:tc>
        <w:tc>
          <w:tcPr>
            <w:tcW w:w="799"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12"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额定功率</w:t>
            </w:r>
          </w:p>
          <w:p>
            <w:pPr>
              <w:autoSpaceDE w:val="0"/>
              <w:autoSpaceDN w:val="0"/>
              <w:adjustRightInd w:val="0"/>
              <w:snapToGrid w:val="0"/>
              <w:jc w:val="center"/>
              <w:rPr>
                <w:rFonts w:ascii="宋体" w:hAnsi="宋体"/>
                <w:color w:val="auto"/>
                <w:kern w:val="0"/>
                <w:sz w:val="10"/>
                <w:szCs w:val="10"/>
                <w:highlight w:val="none"/>
              </w:rPr>
            </w:pP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（KW）</w:t>
            </w:r>
          </w:p>
        </w:tc>
        <w:tc>
          <w:tcPr>
            <w:tcW w:w="947"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生产</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能力</w:t>
            </w:r>
          </w:p>
        </w:tc>
        <w:tc>
          <w:tcPr>
            <w:tcW w:w="1141"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用于施</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工部位</w:t>
            </w:r>
          </w:p>
        </w:tc>
        <w:tc>
          <w:tcPr>
            <w:tcW w:w="749"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bl>
    <w:p>
      <w:pPr>
        <w:autoSpaceDE w:val="0"/>
        <w:autoSpaceDN w:val="0"/>
        <w:adjustRightInd w:val="0"/>
        <w:snapToGrid w:val="0"/>
        <w:spacing w:line="20" w:lineRule="exact"/>
        <w:jc w:val="left"/>
        <w:rPr>
          <w:rFonts w:ascii="宋体" w:hAnsi="宋体"/>
          <w:color w:val="auto"/>
          <w:kern w:val="0"/>
          <w:highlight w:val="none"/>
        </w:rPr>
      </w:pPr>
    </w:p>
    <w:p>
      <w:pPr>
        <w:jc w:val="center"/>
        <w:rPr>
          <w:rFonts w:ascii="宋体" w:hAnsi="宋体"/>
          <w:color w:val="auto"/>
          <w:kern w:val="0"/>
          <w:sz w:val="20"/>
          <w:szCs w:val="20"/>
          <w:highlight w:val="none"/>
        </w:rPr>
      </w:pPr>
      <w:bookmarkStart w:id="2247" w:name="_Toc287620824"/>
      <w:bookmarkStart w:id="2248" w:name="_Toc224103505"/>
      <w:bookmarkStart w:id="2249" w:name="_Toc430530540"/>
      <w:bookmarkStart w:id="2250" w:name="_Toc277082651"/>
      <w:bookmarkStart w:id="2251" w:name="_Toc287607877"/>
      <w:r>
        <w:rPr>
          <w:rFonts w:ascii="宋体" w:hAnsi="宋体"/>
          <w:color w:val="auto"/>
          <w:sz w:val="28"/>
          <w:highlight w:val="none"/>
        </w:rPr>
        <w:br w:type="page"/>
      </w:r>
      <w:bookmarkStart w:id="2252" w:name="_Toc534185835"/>
      <w:bookmarkStart w:id="2253" w:name="_Toc509218858"/>
      <w:r>
        <w:rPr>
          <w:color w:val="auto"/>
          <w:sz w:val="32"/>
          <w:szCs w:val="32"/>
          <w:highlight w:val="none"/>
        </w:rPr>
        <w:t>附表二：拟配备本标段的试验和检测仪器设备表</w:t>
      </w:r>
      <w:bookmarkEnd w:id="2247"/>
      <w:bookmarkEnd w:id="2248"/>
      <w:bookmarkEnd w:id="2249"/>
      <w:bookmarkEnd w:id="2250"/>
      <w:bookmarkEnd w:id="2251"/>
      <w:bookmarkEnd w:id="2252"/>
      <w:bookmarkEnd w:id="2253"/>
    </w:p>
    <w:tbl>
      <w:tblPr>
        <w:tblStyle w:val="46"/>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219"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仪器设备</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名　　称</w:t>
            </w:r>
          </w:p>
        </w:tc>
        <w:tc>
          <w:tcPr>
            <w:tcW w:w="852"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111"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54"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国别</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产地</w:t>
            </w:r>
          </w:p>
        </w:tc>
        <w:tc>
          <w:tcPr>
            <w:tcW w:w="827"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59"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已使用</w:t>
            </w:r>
          </w:p>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台时数</w:t>
            </w:r>
          </w:p>
        </w:tc>
        <w:tc>
          <w:tcPr>
            <w:tcW w:w="1855"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用途</w:t>
            </w:r>
          </w:p>
        </w:tc>
        <w:tc>
          <w:tcPr>
            <w:tcW w:w="770"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bl>
    <w:p>
      <w:pPr>
        <w:spacing w:line="20" w:lineRule="exact"/>
        <w:rPr>
          <w:rFonts w:ascii="宋体" w:hAnsi="宋体"/>
          <w:color w:val="auto"/>
          <w:highlight w:val="none"/>
        </w:rPr>
      </w:pPr>
    </w:p>
    <w:p>
      <w:pPr>
        <w:jc w:val="center"/>
        <w:rPr>
          <w:rFonts w:ascii="宋体" w:hAnsi="宋体"/>
          <w:b/>
          <w:color w:val="auto"/>
          <w:highlight w:val="none"/>
        </w:rPr>
      </w:pPr>
      <w:bookmarkStart w:id="2254" w:name="_Toc277082652"/>
      <w:bookmarkStart w:id="2255" w:name="_Toc430530541"/>
      <w:bookmarkStart w:id="2256" w:name="_Toc287620825"/>
      <w:bookmarkStart w:id="2257" w:name="_Toc287607878"/>
      <w:bookmarkStart w:id="2258" w:name="_Toc224103506"/>
      <w:r>
        <w:rPr>
          <w:rFonts w:ascii="宋体" w:hAnsi="宋体"/>
          <w:color w:val="auto"/>
          <w:sz w:val="28"/>
          <w:highlight w:val="none"/>
        </w:rPr>
        <w:br w:type="page"/>
      </w:r>
      <w:bookmarkStart w:id="2259" w:name="_Toc534185836"/>
      <w:bookmarkStart w:id="2260" w:name="_Toc509218859"/>
      <w:r>
        <w:rPr>
          <w:color w:val="auto"/>
          <w:sz w:val="32"/>
          <w:szCs w:val="32"/>
          <w:highlight w:val="none"/>
        </w:rPr>
        <w:t>附表三：劳动力计划表</w:t>
      </w:r>
      <w:bookmarkEnd w:id="2254"/>
      <w:bookmarkEnd w:id="2255"/>
      <w:bookmarkEnd w:id="2256"/>
      <w:bookmarkEnd w:id="2257"/>
      <w:bookmarkEnd w:id="2258"/>
      <w:bookmarkEnd w:id="2259"/>
      <w:bookmarkEnd w:id="2260"/>
    </w:p>
    <w:p>
      <w:pPr>
        <w:autoSpaceDE w:val="0"/>
        <w:autoSpaceDN w:val="0"/>
        <w:adjustRightInd w:val="0"/>
        <w:snapToGrid w:val="0"/>
        <w:spacing w:line="360" w:lineRule="auto"/>
        <w:ind w:right="210"/>
        <w:jc w:val="right"/>
        <w:rPr>
          <w:rFonts w:ascii="宋体" w:hAnsi="宋体"/>
          <w:color w:val="auto"/>
          <w:kern w:val="0"/>
          <w:szCs w:val="21"/>
          <w:highlight w:val="none"/>
        </w:rPr>
      </w:pPr>
      <w:r>
        <w:rPr>
          <w:rFonts w:ascii="宋体" w:hAnsi="宋体"/>
          <w:color w:val="auto"/>
          <w:kern w:val="0"/>
          <w:szCs w:val="21"/>
          <w:highlight w:val="none"/>
        </w:rPr>
        <w:t>单位：人</w:t>
      </w:r>
    </w:p>
    <w:tbl>
      <w:tblPr>
        <w:tblStyle w:val="46"/>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工种</w:t>
            </w:r>
          </w:p>
        </w:tc>
        <w:tc>
          <w:tcPr>
            <w:tcW w:w="8574" w:type="dxa"/>
            <w:gridSpan w:val="7"/>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按工程施工阶段投入劳动力情况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bl>
    <w:p>
      <w:pPr>
        <w:autoSpaceDE w:val="0"/>
        <w:autoSpaceDN w:val="0"/>
        <w:adjustRightInd w:val="0"/>
        <w:snapToGrid w:val="0"/>
        <w:spacing w:line="20" w:lineRule="exact"/>
        <w:jc w:val="left"/>
        <w:rPr>
          <w:rFonts w:ascii="宋体" w:hAnsi="宋体"/>
          <w:color w:val="auto"/>
          <w:kern w:val="0"/>
          <w:highlight w:val="none"/>
        </w:rPr>
      </w:pPr>
    </w:p>
    <w:p>
      <w:pPr>
        <w:jc w:val="center"/>
        <w:rPr>
          <w:rFonts w:ascii="宋体" w:hAnsi="宋体"/>
          <w:b/>
          <w:color w:val="auto"/>
          <w:highlight w:val="none"/>
        </w:rPr>
      </w:pPr>
      <w:bookmarkStart w:id="2261" w:name="_Toc430530542"/>
      <w:r>
        <w:rPr>
          <w:rFonts w:ascii="宋体" w:hAnsi="宋体"/>
          <w:color w:val="auto"/>
          <w:sz w:val="28"/>
          <w:highlight w:val="none"/>
        </w:rPr>
        <w:br w:type="page"/>
      </w:r>
      <w:bookmarkStart w:id="2262" w:name="_Toc534185837"/>
      <w:bookmarkStart w:id="2263" w:name="_Toc509218860"/>
      <w:r>
        <w:rPr>
          <w:color w:val="auto"/>
          <w:sz w:val="32"/>
          <w:szCs w:val="32"/>
          <w:highlight w:val="none"/>
        </w:rPr>
        <w:t>附表四：计划开、竣工日期和施工进度网络图</w:t>
      </w:r>
      <w:bookmarkEnd w:id="2241"/>
      <w:bookmarkEnd w:id="2242"/>
      <w:bookmarkEnd w:id="2243"/>
      <w:bookmarkEnd w:id="2244"/>
      <w:bookmarkEnd w:id="2261"/>
      <w:bookmarkEnd w:id="2262"/>
      <w:bookmarkEnd w:id="2263"/>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ind w:firstLine="420"/>
        <w:jc w:val="left"/>
        <w:rPr>
          <w:rFonts w:ascii="宋体" w:hAnsi="宋体"/>
          <w:color w:val="auto"/>
          <w:kern w:val="0"/>
          <w:szCs w:val="21"/>
          <w:highlight w:val="none"/>
        </w:rPr>
      </w:pPr>
      <w:r>
        <w:rPr>
          <w:rFonts w:ascii="宋体" w:hAnsi="宋体"/>
          <w:color w:val="auto"/>
          <w:kern w:val="0"/>
          <w:szCs w:val="21"/>
          <w:highlight w:val="none"/>
        </w:rPr>
        <w:t xml:space="preserve">1. </w:t>
      </w:r>
      <w:r>
        <w:rPr>
          <w:rFonts w:ascii="宋体" w:hAnsi="宋体"/>
          <w:color w:val="auto"/>
          <w:spacing w:val="1"/>
          <w:kern w:val="0"/>
          <w:szCs w:val="21"/>
          <w:highlight w:val="none"/>
        </w:rPr>
        <w:t>比选申请人</w:t>
      </w:r>
      <w:r>
        <w:rPr>
          <w:rFonts w:ascii="宋体" w:hAnsi="宋体"/>
          <w:color w:val="auto"/>
          <w:spacing w:val="2"/>
          <w:kern w:val="0"/>
          <w:szCs w:val="21"/>
          <w:highlight w:val="none"/>
        </w:rPr>
        <w:t>应</w:t>
      </w:r>
      <w:r>
        <w:rPr>
          <w:rFonts w:ascii="宋体" w:hAnsi="宋体"/>
          <w:color w:val="auto"/>
          <w:spacing w:val="1"/>
          <w:kern w:val="0"/>
          <w:szCs w:val="21"/>
          <w:highlight w:val="none"/>
        </w:rPr>
        <w:t>递交</w:t>
      </w:r>
      <w:r>
        <w:rPr>
          <w:rFonts w:ascii="宋体" w:hAnsi="宋体"/>
          <w:color w:val="auto"/>
          <w:spacing w:val="2"/>
          <w:kern w:val="0"/>
          <w:szCs w:val="21"/>
          <w:highlight w:val="none"/>
        </w:rPr>
        <w:t>施</w:t>
      </w:r>
      <w:r>
        <w:rPr>
          <w:rFonts w:ascii="宋体" w:hAnsi="宋体"/>
          <w:color w:val="auto"/>
          <w:spacing w:val="1"/>
          <w:kern w:val="0"/>
          <w:szCs w:val="21"/>
          <w:highlight w:val="none"/>
        </w:rPr>
        <w:t>工</w:t>
      </w:r>
      <w:r>
        <w:rPr>
          <w:rFonts w:ascii="宋体" w:hAnsi="宋体"/>
          <w:color w:val="auto"/>
          <w:spacing w:val="2"/>
          <w:kern w:val="0"/>
          <w:szCs w:val="21"/>
          <w:highlight w:val="none"/>
        </w:rPr>
        <w:t>进</w:t>
      </w:r>
      <w:r>
        <w:rPr>
          <w:rFonts w:ascii="宋体" w:hAnsi="宋体"/>
          <w:color w:val="auto"/>
          <w:spacing w:val="1"/>
          <w:kern w:val="0"/>
          <w:szCs w:val="21"/>
          <w:highlight w:val="none"/>
        </w:rPr>
        <w:t>度网</w:t>
      </w:r>
      <w:r>
        <w:rPr>
          <w:rFonts w:ascii="宋体" w:hAnsi="宋体"/>
          <w:color w:val="auto"/>
          <w:spacing w:val="2"/>
          <w:kern w:val="0"/>
          <w:szCs w:val="21"/>
          <w:highlight w:val="none"/>
        </w:rPr>
        <w:t>络</w:t>
      </w:r>
      <w:r>
        <w:rPr>
          <w:rFonts w:ascii="宋体" w:hAnsi="宋体"/>
          <w:color w:val="auto"/>
          <w:spacing w:val="1"/>
          <w:kern w:val="0"/>
          <w:szCs w:val="21"/>
          <w:highlight w:val="none"/>
        </w:rPr>
        <w:t>图</w:t>
      </w:r>
      <w:r>
        <w:rPr>
          <w:rFonts w:ascii="宋体" w:hAnsi="宋体"/>
          <w:color w:val="auto"/>
          <w:spacing w:val="2"/>
          <w:kern w:val="0"/>
          <w:szCs w:val="21"/>
          <w:highlight w:val="none"/>
        </w:rPr>
        <w:t>或</w:t>
      </w:r>
      <w:r>
        <w:rPr>
          <w:rFonts w:ascii="宋体" w:hAnsi="宋体"/>
          <w:color w:val="auto"/>
          <w:spacing w:val="1"/>
          <w:kern w:val="0"/>
          <w:szCs w:val="21"/>
          <w:highlight w:val="none"/>
        </w:rPr>
        <w:t>施工</w:t>
      </w:r>
      <w:r>
        <w:rPr>
          <w:rFonts w:ascii="宋体" w:hAnsi="宋体"/>
          <w:color w:val="auto"/>
          <w:spacing w:val="2"/>
          <w:kern w:val="0"/>
          <w:szCs w:val="21"/>
          <w:highlight w:val="none"/>
        </w:rPr>
        <w:t>进</w:t>
      </w:r>
      <w:r>
        <w:rPr>
          <w:rFonts w:ascii="宋体" w:hAnsi="宋体"/>
          <w:color w:val="auto"/>
          <w:spacing w:val="1"/>
          <w:kern w:val="0"/>
          <w:szCs w:val="21"/>
          <w:highlight w:val="none"/>
        </w:rPr>
        <w:t>度</w:t>
      </w:r>
      <w:r>
        <w:rPr>
          <w:rFonts w:ascii="宋体" w:hAnsi="宋体"/>
          <w:color w:val="auto"/>
          <w:spacing w:val="2"/>
          <w:kern w:val="0"/>
          <w:szCs w:val="21"/>
          <w:highlight w:val="none"/>
        </w:rPr>
        <w:t>表</w:t>
      </w:r>
      <w:r>
        <w:rPr>
          <w:rFonts w:ascii="宋体" w:hAnsi="宋体"/>
          <w:color w:val="auto"/>
          <w:spacing w:val="1"/>
          <w:kern w:val="0"/>
          <w:szCs w:val="21"/>
          <w:highlight w:val="none"/>
        </w:rPr>
        <w:t>，说</w:t>
      </w:r>
      <w:r>
        <w:rPr>
          <w:rFonts w:ascii="宋体" w:hAnsi="宋体"/>
          <w:color w:val="auto"/>
          <w:spacing w:val="2"/>
          <w:kern w:val="0"/>
          <w:szCs w:val="21"/>
          <w:highlight w:val="none"/>
        </w:rPr>
        <w:t>明</w:t>
      </w:r>
      <w:r>
        <w:rPr>
          <w:rFonts w:ascii="宋体" w:hAnsi="宋体"/>
          <w:color w:val="auto"/>
          <w:spacing w:val="1"/>
          <w:kern w:val="0"/>
          <w:szCs w:val="21"/>
          <w:highlight w:val="none"/>
        </w:rPr>
        <w:t>按</w:t>
      </w:r>
      <w:r>
        <w:rPr>
          <w:rFonts w:ascii="宋体" w:hAnsi="宋体"/>
          <w:color w:val="auto"/>
          <w:spacing w:val="2"/>
          <w:kern w:val="0"/>
          <w:szCs w:val="21"/>
          <w:highlight w:val="none"/>
        </w:rPr>
        <w:t>竞争性比选文件</w:t>
      </w:r>
      <w:r>
        <w:rPr>
          <w:rFonts w:ascii="宋体" w:hAnsi="宋体"/>
          <w:color w:val="auto"/>
          <w:spacing w:val="1"/>
          <w:kern w:val="0"/>
          <w:szCs w:val="21"/>
          <w:highlight w:val="none"/>
        </w:rPr>
        <w:t>要</w:t>
      </w:r>
      <w:r>
        <w:rPr>
          <w:rFonts w:ascii="宋体" w:hAnsi="宋体"/>
          <w:color w:val="auto"/>
          <w:spacing w:val="2"/>
          <w:kern w:val="0"/>
          <w:szCs w:val="21"/>
          <w:highlight w:val="none"/>
        </w:rPr>
        <w:t>求</w:t>
      </w:r>
      <w:r>
        <w:rPr>
          <w:rFonts w:ascii="宋体" w:hAnsi="宋体"/>
          <w:color w:val="auto"/>
          <w:spacing w:val="1"/>
          <w:kern w:val="0"/>
          <w:szCs w:val="21"/>
          <w:highlight w:val="none"/>
        </w:rPr>
        <w:t>的计</w:t>
      </w:r>
      <w:r>
        <w:rPr>
          <w:rFonts w:ascii="宋体" w:hAnsi="宋体"/>
          <w:color w:val="auto"/>
          <w:spacing w:val="2"/>
          <w:kern w:val="0"/>
          <w:szCs w:val="21"/>
          <w:highlight w:val="none"/>
        </w:rPr>
        <w:t>划</w:t>
      </w:r>
      <w:r>
        <w:rPr>
          <w:rFonts w:ascii="宋体" w:hAnsi="宋体"/>
          <w:color w:val="auto"/>
          <w:spacing w:val="1"/>
          <w:kern w:val="0"/>
          <w:szCs w:val="21"/>
          <w:highlight w:val="none"/>
        </w:rPr>
        <w:t>工</w:t>
      </w:r>
      <w:r>
        <w:rPr>
          <w:rFonts w:ascii="宋体" w:hAnsi="宋体"/>
          <w:color w:val="auto"/>
          <w:spacing w:val="4"/>
          <w:kern w:val="0"/>
          <w:szCs w:val="21"/>
          <w:highlight w:val="none"/>
        </w:rPr>
        <w:t>期</w:t>
      </w:r>
      <w:r>
        <w:rPr>
          <w:rFonts w:ascii="宋体" w:hAnsi="宋体"/>
          <w:color w:val="auto"/>
          <w:spacing w:val="2"/>
          <w:kern w:val="0"/>
          <w:szCs w:val="21"/>
          <w:highlight w:val="none"/>
        </w:rPr>
        <w:t>进</w:t>
      </w:r>
      <w:r>
        <w:rPr>
          <w:rFonts w:ascii="宋体" w:hAnsi="宋体"/>
          <w:color w:val="auto"/>
          <w:spacing w:val="1"/>
          <w:kern w:val="0"/>
          <w:szCs w:val="21"/>
          <w:highlight w:val="none"/>
        </w:rPr>
        <w:t>行</w:t>
      </w:r>
      <w:r>
        <w:rPr>
          <w:rFonts w:ascii="宋体" w:hAnsi="宋体"/>
          <w:color w:val="auto"/>
          <w:kern w:val="0"/>
          <w:szCs w:val="21"/>
          <w:highlight w:val="none"/>
        </w:rPr>
        <w:t>施工的各个关键日期。</w:t>
      </w:r>
    </w:p>
    <w:p>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2.施工进</w:t>
      </w:r>
      <w:r>
        <w:rPr>
          <w:rFonts w:ascii="宋体" w:hAnsi="宋体"/>
          <w:color w:val="auto"/>
          <w:spacing w:val="-1"/>
          <w:kern w:val="0"/>
          <w:szCs w:val="21"/>
          <w:highlight w:val="none"/>
        </w:rPr>
        <w:t>度</w:t>
      </w:r>
      <w:r>
        <w:rPr>
          <w:rFonts w:ascii="宋体" w:hAnsi="宋体"/>
          <w:color w:val="auto"/>
          <w:kern w:val="0"/>
          <w:szCs w:val="21"/>
          <w:highlight w:val="none"/>
        </w:rPr>
        <w:t>表可采用网络图（或横道图）表示。</w:t>
      </w:r>
    </w:p>
    <w:p>
      <w:pPr>
        <w:autoSpaceDE w:val="0"/>
        <w:autoSpaceDN w:val="0"/>
        <w:adjustRightInd w:val="0"/>
        <w:snapToGrid w:val="0"/>
        <w:spacing w:line="360" w:lineRule="auto"/>
        <w:jc w:val="left"/>
        <w:rPr>
          <w:rFonts w:ascii="宋体" w:hAnsi="宋体"/>
          <w:color w:val="auto"/>
          <w:kern w:val="0"/>
          <w:sz w:val="24"/>
          <w:highlight w:val="none"/>
        </w:rPr>
      </w:pPr>
    </w:p>
    <w:p>
      <w:pPr>
        <w:jc w:val="center"/>
        <w:rPr>
          <w:rFonts w:ascii="宋体" w:hAnsi="宋体"/>
          <w:color w:val="auto"/>
          <w:sz w:val="28"/>
          <w:highlight w:val="none"/>
        </w:rPr>
      </w:pPr>
      <w:bookmarkStart w:id="2264" w:name="_Toc430530543"/>
      <w:bookmarkStart w:id="2265" w:name="_Toc277082654"/>
      <w:bookmarkStart w:id="2266" w:name="_Toc224103508"/>
      <w:bookmarkStart w:id="2267" w:name="_Toc287607880"/>
      <w:bookmarkStart w:id="2268" w:name="_Toc287620827"/>
      <w:r>
        <w:rPr>
          <w:rFonts w:ascii="宋体" w:hAnsi="宋体"/>
          <w:color w:val="auto"/>
          <w:sz w:val="28"/>
          <w:highlight w:val="none"/>
        </w:rPr>
        <w:br w:type="page"/>
      </w:r>
      <w:bookmarkStart w:id="2269" w:name="_Toc509218861"/>
      <w:bookmarkStart w:id="2270" w:name="_Toc534185838"/>
      <w:r>
        <w:rPr>
          <w:color w:val="auto"/>
          <w:sz w:val="32"/>
          <w:szCs w:val="32"/>
          <w:highlight w:val="none"/>
        </w:rPr>
        <w:t>附表五：施工总平面图</w:t>
      </w:r>
      <w:bookmarkEnd w:id="2264"/>
      <w:bookmarkEnd w:id="2265"/>
      <w:bookmarkEnd w:id="2266"/>
      <w:bookmarkEnd w:id="2267"/>
      <w:bookmarkEnd w:id="2268"/>
      <w:bookmarkEnd w:id="2269"/>
      <w:bookmarkEnd w:id="2270"/>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比选申请人应递交一份</w:t>
      </w:r>
      <w:r>
        <w:rPr>
          <w:rFonts w:hint="eastAsia" w:ascii="宋体" w:hAnsi="宋体"/>
          <w:color w:val="auto"/>
          <w:kern w:val="0"/>
          <w:szCs w:val="21"/>
          <w:highlight w:val="none"/>
          <w:lang w:eastAsia="zh-CN"/>
        </w:rPr>
        <w:t>与施工主体相关联的</w:t>
      </w:r>
      <w:r>
        <w:rPr>
          <w:rFonts w:ascii="宋体" w:hAnsi="宋体"/>
          <w:color w:val="auto"/>
          <w:kern w:val="0"/>
          <w:szCs w:val="21"/>
          <w:highlight w:val="none"/>
        </w:rPr>
        <w:t>施工总平面图</w:t>
      </w:r>
      <w:r>
        <w:rPr>
          <w:rFonts w:ascii="宋体" w:hAnsi="宋体"/>
          <w:color w:val="auto"/>
          <w:spacing w:val="-47"/>
          <w:kern w:val="0"/>
          <w:szCs w:val="21"/>
          <w:highlight w:val="none"/>
        </w:rPr>
        <w:t>，</w:t>
      </w:r>
      <w:r>
        <w:rPr>
          <w:rFonts w:ascii="宋体" w:hAnsi="宋体"/>
          <w:color w:val="auto"/>
          <w:kern w:val="0"/>
          <w:szCs w:val="21"/>
          <w:highlight w:val="none"/>
        </w:rPr>
        <w:t>绘出现场临时设施布置图表并附文字说明</w:t>
      </w:r>
      <w:r>
        <w:rPr>
          <w:rFonts w:ascii="宋体" w:hAnsi="宋体"/>
          <w:color w:val="auto"/>
          <w:spacing w:val="-47"/>
          <w:kern w:val="0"/>
          <w:szCs w:val="21"/>
          <w:highlight w:val="none"/>
        </w:rPr>
        <w:t>，</w:t>
      </w:r>
      <w:r>
        <w:rPr>
          <w:rFonts w:ascii="宋体" w:hAnsi="宋体"/>
          <w:color w:val="auto"/>
          <w:kern w:val="0"/>
          <w:szCs w:val="21"/>
          <w:highlight w:val="none"/>
        </w:rPr>
        <w:t>说明临时 设施</w:t>
      </w:r>
      <w:r>
        <w:rPr>
          <w:rFonts w:ascii="宋体" w:hAnsi="宋体"/>
          <w:color w:val="auto"/>
          <w:spacing w:val="-11"/>
          <w:kern w:val="0"/>
          <w:szCs w:val="21"/>
          <w:highlight w:val="none"/>
        </w:rPr>
        <w:t>、</w:t>
      </w:r>
      <w:r>
        <w:rPr>
          <w:rFonts w:ascii="宋体" w:hAnsi="宋体"/>
          <w:color w:val="auto"/>
          <w:kern w:val="0"/>
          <w:szCs w:val="21"/>
          <w:highlight w:val="none"/>
        </w:rPr>
        <w:t>加工车间</w:t>
      </w:r>
      <w:r>
        <w:rPr>
          <w:rFonts w:ascii="宋体" w:hAnsi="宋体"/>
          <w:color w:val="auto"/>
          <w:spacing w:val="-11"/>
          <w:kern w:val="0"/>
          <w:szCs w:val="21"/>
          <w:highlight w:val="none"/>
        </w:rPr>
        <w:t>、</w:t>
      </w:r>
      <w:r>
        <w:rPr>
          <w:rFonts w:ascii="宋体" w:hAnsi="宋体"/>
          <w:color w:val="auto"/>
          <w:kern w:val="0"/>
          <w:szCs w:val="21"/>
          <w:highlight w:val="none"/>
        </w:rPr>
        <w:t>现场办公</w:t>
      </w:r>
      <w:r>
        <w:rPr>
          <w:rFonts w:ascii="宋体" w:hAnsi="宋体"/>
          <w:color w:val="auto"/>
          <w:spacing w:val="-11"/>
          <w:kern w:val="0"/>
          <w:szCs w:val="21"/>
          <w:highlight w:val="none"/>
        </w:rPr>
        <w:t>、</w:t>
      </w:r>
      <w:r>
        <w:rPr>
          <w:rFonts w:ascii="宋体" w:hAnsi="宋体"/>
          <w:color w:val="auto"/>
          <w:kern w:val="0"/>
          <w:szCs w:val="21"/>
          <w:highlight w:val="none"/>
        </w:rPr>
        <w:t>设备及仓储</w:t>
      </w:r>
      <w:r>
        <w:rPr>
          <w:rFonts w:ascii="宋体" w:hAnsi="宋体"/>
          <w:color w:val="auto"/>
          <w:spacing w:val="-11"/>
          <w:kern w:val="0"/>
          <w:szCs w:val="21"/>
          <w:highlight w:val="none"/>
        </w:rPr>
        <w:t>、</w:t>
      </w:r>
      <w:r>
        <w:rPr>
          <w:rFonts w:ascii="宋体" w:hAnsi="宋体"/>
          <w:color w:val="auto"/>
          <w:kern w:val="0"/>
          <w:szCs w:val="21"/>
          <w:highlight w:val="none"/>
        </w:rPr>
        <w:t>供电</w:t>
      </w:r>
      <w:r>
        <w:rPr>
          <w:rFonts w:ascii="宋体" w:hAnsi="宋体"/>
          <w:color w:val="auto"/>
          <w:spacing w:val="-11"/>
          <w:kern w:val="0"/>
          <w:szCs w:val="21"/>
          <w:highlight w:val="none"/>
        </w:rPr>
        <w:t>、</w:t>
      </w:r>
      <w:r>
        <w:rPr>
          <w:rFonts w:ascii="宋体" w:hAnsi="宋体"/>
          <w:color w:val="auto"/>
          <w:kern w:val="0"/>
          <w:szCs w:val="21"/>
          <w:highlight w:val="none"/>
        </w:rPr>
        <w:t>供水</w:t>
      </w:r>
      <w:r>
        <w:rPr>
          <w:rFonts w:ascii="宋体" w:hAnsi="宋体"/>
          <w:color w:val="auto"/>
          <w:spacing w:val="-10"/>
          <w:kern w:val="0"/>
          <w:szCs w:val="21"/>
          <w:highlight w:val="none"/>
        </w:rPr>
        <w:t>、</w:t>
      </w:r>
      <w:r>
        <w:rPr>
          <w:rFonts w:ascii="宋体" w:hAnsi="宋体"/>
          <w:color w:val="auto"/>
          <w:kern w:val="0"/>
          <w:szCs w:val="21"/>
          <w:highlight w:val="none"/>
        </w:rPr>
        <w:t>卫生</w:t>
      </w:r>
      <w:r>
        <w:rPr>
          <w:rFonts w:ascii="宋体" w:hAnsi="宋体"/>
          <w:color w:val="auto"/>
          <w:spacing w:val="-11"/>
          <w:kern w:val="0"/>
          <w:szCs w:val="21"/>
          <w:highlight w:val="none"/>
        </w:rPr>
        <w:t>、</w:t>
      </w:r>
      <w:r>
        <w:rPr>
          <w:rFonts w:ascii="宋体" w:hAnsi="宋体"/>
          <w:color w:val="auto"/>
          <w:kern w:val="0"/>
          <w:szCs w:val="21"/>
          <w:highlight w:val="none"/>
        </w:rPr>
        <w:t>生活</w:t>
      </w:r>
      <w:r>
        <w:rPr>
          <w:rFonts w:ascii="宋体" w:hAnsi="宋体"/>
          <w:color w:val="auto"/>
          <w:spacing w:val="-11"/>
          <w:kern w:val="0"/>
          <w:szCs w:val="21"/>
          <w:highlight w:val="none"/>
        </w:rPr>
        <w:t>、</w:t>
      </w:r>
      <w:r>
        <w:rPr>
          <w:rFonts w:ascii="宋体" w:hAnsi="宋体"/>
          <w:color w:val="auto"/>
          <w:kern w:val="0"/>
          <w:szCs w:val="21"/>
          <w:highlight w:val="none"/>
        </w:rPr>
        <w:t>道路</w:t>
      </w:r>
      <w:r>
        <w:rPr>
          <w:rFonts w:ascii="宋体" w:hAnsi="宋体"/>
          <w:color w:val="auto"/>
          <w:spacing w:val="-11"/>
          <w:kern w:val="0"/>
          <w:szCs w:val="21"/>
          <w:highlight w:val="none"/>
        </w:rPr>
        <w:t>、</w:t>
      </w:r>
      <w:r>
        <w:rPr>
          <w:rFonts w:ascii="宋体" w:hAnsi="宋体"/>
          <w:color w:val="auto"/>
          <w:spacing w:val="1"/>
          <w:kern w:val="0"/>
          <w:szCs w:val="21"/>
          <w:highlight w:val="none"/>
        </w:rPr>
        <w:t>消</w:t>
      </w:r>
      <w:r>
        <w:rPr>
          <w:rFonts w:ascii="宋体" w:hAnsi="宋体"/>
          <w:color w:val="auto"/>
          <w:kern w:val="0"/>
          <w:szCs w:val="21"/>
          <w:highlight w:val="none"/>
        </w:rPr>
        <w:t>防等设施的情况和布置。</w:t>
      </w:r>
    </w:p>
    <w:p>
      <w:pPr>
        <w:autoSpaceDE w:val="0"/>
        <w:autoSpaceDN w:val="0"/>
        <w:adjustRightInd w:val="0"/>
        <w:snapToGrid w:val="0"/>
        <w:spacing w:line="360" w:lineRule="auto"/>
        <w:jc w:val="left"/>
        <w:rPr>
          <w:rFonts w:ascii="宋体" w:hAnsi="宋体"/>
          <w:color w:val="auto"/>
          <w:kern w:val="0"/>
          <w:szCs w:val="21"/>
          <w:highlight w:val="none"/>
        </w:rPr>
      </w:pPr>
      <w:r>
        <w:rPr>
          <w:rFonts w:ascii="宋体" w:hAnsi="宋体"/>
          <w:color w:val="auto"/>
          <w:kern w:val="0"/>
          <w:szCs w:val="21"/>
          <w:highlight w:val="none"/>
        </w:rPr>
        <w:br w:type="page"/>
      </w:r>
    </w:p>
    <w:p>
      <w:pPr>
        <w:jc w:val="center"/>
        <w:rPr>
          <w:color w:val="auto"/>
          <w:sz w:val="32"/>
          <w:szCs w:val="32"/>
          <w:highlight w:val="none"/>
        </w:rPr>
      </w:pPr>
      <w:bookmarkStart w:id="2271" w:name="_Toc224103509"/>
      <w:bookmarkStart w:id="2272" w:name="_Toc287607881"/>
      <w:bookmarkStart w:id="2273" w:name="_Toc509218862"/>
      <w:bookmarkStart w:id="2274" w:name="_Toc287620828"/>
      <w:bookmarkStart w:id="2275" w:name="_Toc277082655"/>
      <w:bookmarkStart w:id="2276" w:name="_Toc534185839"/>
      <w:bookmarkStart w:id="2277" w:name="_Toc430530544"/>
      <w:r>
        <w:rPr>
          <w:rFonts w:hint="eastAsia"/>
          <w:color w:val="auto"/>
          <w:sz w:val="32"/>
          <w:szCs w:val="32"/>
          <w:highlight w:val="none"/>
        </w:rPr>
        <w:t>附表六：临时用地表</w:t>
      </w:r>
      <w:bookmarkEnd w:id="2271"/>
      <w:bookmarkEnd w:id="2272"/>
      <w:bookmarkEnd w:id="2273"/>
      <w:bookmarkEnd w:id="2274"/>
      <w:bookmarkEnd w:id="2275"/>
      <w:bookmarkEnd w:id="2276"/>
      <w:bookmarkEnd w:id="2277"/>
    </w:p>
    <w:tbl>
      <w:tblPr>
        <w:tblStyle w:val="46"/>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用 途</w:t>
            </w:r>
          </w:p>
        </w:tc>
        <w:tc>
          <w:tcPr>
            <w:tcW w:w="2381"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面 积（平</w:t>
            </w:r>
            <w:r>
              <w:rPr>
                <w:rFonts w:ascii="宋体" w:hAnsi="宋体"/>
                <w:color w:val="auto"/>
                <w:spacing w:val="-1"/>
                <w:kern w:val="0"/>
                <w:szCs w:val="21"/>
                <w:highlight w:val="none"/>
              </w:rPr>
              <w:t>方</w:t>
            </w:r>
            <w:r>
              <w:rPr>
                <w:rFonts w:ascii="宋体" w:hAnsi="宋体"/>
                <w:color w:val="auto"/>
                <w:kern w:val="0"/>
                <w:szCs w:val="21"/>
                <w:highlight w:val="none"/>
              </w:rPr>
              <w:t>米）</w:t>
            </w:r>
          </w:p>
        </w:tc>
        <w:tc>
          <w:tcPr>
            <w:tcW w:w="2383"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位 置</w:t>
            </w:r>
          </w:p>
        </w:tc>
        <w:tc>
          <w:tcPr>
            <w:tcW w:w="2384"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需用时间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bl>
    <w:p>
      <w:pPr>
        <w:autoSpaceDE w:val="0"/>
        <w:autoSpaceDN w:val="0"/>
        <w:adjustRightInd w:val="0"/>
        <w:snapToGrid w:val="0"/>
        <w:spacing w:line="20" w:lineRule="exact"/>
        <w:jc w:val="left"/>
        <w:rPr>
          <w:rFonts w:ascii="宋体" w:hAnsi="宋体"/>
          <w:color w:val="auto"/>
          <w:kern w:val="0"/>
          <w:highlight w:val="none"/>
        </w:rPr>
      </w:pPr>
    </w:p>
    <w:p>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sz w:val="36"/>
          <w:szCs w:val="36"/>
          <w:highlight w:val="none"/>
        </w:rPr>
        <w:br w:type="page"/>
      </w:r>
    </w:p>
    <w:p>
      <w:pPr>
        <w:pStyle w:val="4"/>
        <w:spacing w:line="360" w:lineRule="auto"/>
        <w:jc w:val="center"/>
        <w:rPr>
          <w:rFonts w:ascii="宋体" w:hAnsi="宋体"/>
          <w:b w:val="0"/>
          <w:bCs w:val="0"/>
          <w:color w:val="auto"/>
          <w:sz w:val="44"/>
          <w:szCs w:val="44"/>
          <w:highlight w:val="none"/>
        </w:rPr>
      </w:pPr>
      <w:bookmarkStart w:id="2278" w:name="_Toc277082656"/>
      <w:bookmarkStart w:id="2279" w:name="_Toc430530545"/>
      <w:bookmarkStart w:id="2280" w:name="_Toc224103510"/>
      <w:bookmarkStart w:id="2281" w:name="_Toc287607882"/>
      <w:bookmarkStart w:id="2282" w:name="_Toc287620829"/>
      <w:bookmarkStart w:id="2283" w:name="_Toc27141"/>
      <w:bookmarkStart w:id="2284" w:name="_Toc123"/>
      <w:r>
        <w:rPr>
          <w:rFonts w:hint="eastAsia" w:ascii="宋体" w:hAnsi="宋体"/>
          <w:b w:val="0"/>
          <w:bCs w:val="0"/>
          <w:color w:val="auto"/>
          <w:sz w:val="44"/>
          <w:szCs w:val="44"/>
          <w:highlight w:val="none"/>
        </w:rPr>
        <w:t>四、</w:t>
      </w:r>
      <w:bookmarkEnd w:id="2278"/>
      <w:bookmarkEnd w:id="2279"/>
      <w:bookmarkEnd w:id="2280"/>
      <w:bookmarkEnd w:id="2281"/>
      <w:bookmarkEnd w:id="2282"/>
      <w:r>
        <w:rPr>
          <w:rFonts w:hint="eastAsia" w:ascii="宋体" w:hAnsi="宋体"/>
          <w:b w:val="0"/>
          <w:bCs w:val="0"/>
          <w:color w:val="auto"/>
          <w:sz w:val="44"/>
          <w:szCs w:val="44"/>
          <w:highlight w:val="none"/>
        </w:rPr>
        <w:t>资格审查部分</w:t>
      </w:r>
      <w:bookmarkEnd w:id="2283"/>
      <w:bookmarkEnd w:id="2284"/>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r>
        <w:rPr>
          <w:rFonts w:ascii="宋体" w:hAnsi="宋体"/>
          <w:color w:val="auto"/>
          <w:sz w:val="32"/>
          <w:szCs w:val="32"/>
          <w:highlight w:val="non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比选申请文件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djustRightInd w:val="0"/>
        <w:snapToGrid w:val="0"/>
        <w:spacing w:line="264" w:lineRule="auto"/>
        <w:rPr>
          <w:rFonts w:ascii="宋体" w:hAnsi="宋体"/>
          <w:color w:val="auto"/>
          <w:szCs w:val="21"/>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比选申请人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spacing w:line="360" w:lineRule="auto"/>
        <w:jc w:val="center"/>
        <w:rPr>
          <w:rFonts w:ascii="宋体" w:hAnsi="宋体"/>
          <w:b/>
          <w:color w:val="auto"/>
          <w:kern w:val="0"/>
          <w:sz w:val="32"/>
          <w:szCs w:val="32"/>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二</w:t>
      </w:r>
      <w:r>
        <w:rPr>
          <w:rFonts w:ascii="宋体" w:hAnsi="宋体"/>
          <w:color w:val="auto"/>
          <w:szCs w:val="21"/>
          <w:highlight w:val="none"/>
        </w:rPr>
        <w:t>）比选申请人基本情况表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三</w:t>
      </w:r>
      <w:r>
        <w:rPr>
          <w:rFonts w:ascii="宋体" w:hAnsi="宋体"/>
          <w:color w:val="auto"/>
          <w:szCs w:val="21"/>
          <w:highlight w:val="none"/>
        </w:rPr>
        <w:t>）项目管理机构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四</w:t>
      </w:r>
      <w:r>
        <w:rPr>
          <w:rFonts w:ascii="宋体" w:hAnsi="宋体"/>
          <w:color w:val="auto"/>
          <w:szCs w:val="21"/>
          <w:highlight w:val="none"/>
        </w:rPr>
        <w:t>）</w:t>
      </w:r>
      <w:r>
        <w:rPr>
          <w:rFonts w:hint="eastAsia" w:ascii="宋体" w:hAnsi="宋体"/>
          <w:color w:val="auto"/>
          <w:szCs w:val="21"/>
          <w:highlight w:val="none"/>
        </w:rPr>
        <w:t>承诺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五</w:t>
      </w:r>
      <w:r>
        <w:rPr>
          <w:rFonts w:ascii="宋体" w:hAnsi="宋体"/>
          <w:color w:val="auto"/>
          <w:szCs w:val="21"/>
          <w:highlight w:val="none"/>
        </w:rPr>
        <w:t>）其他资料</w:t>
      </w:r>
    </w:p>
    <w:p>
      <w:pPr>
        <w:spacing w:line="360" w:lineRule="auto"/>
        <w:jc w:val="center"/>
        <w:rPr>
          <w:rFonts w:ascii="宋体" w:hAnsi="宋体"/>
          <w:b/>
          <w:color w:val="auto"/>
          <w:kern w:val="0"/>
          <w:sz w:val="32"/>
          <w:szCs w:val="32"/>
          <w:highlight w:val="none"/>
        </w:rPr>
      </w:pPr>
    </w:p>
    <w:p>
      <w:pPr>
        <w:spacing w:line="360" w:lineRule="auto"/>
        <w:jc w:val="center"/>
        <w:rPr>
          <w:rFonts w:ascii="宋体" w:hAnsi="宋体"/>
          <w:b/>
          <w:color w:val="auto"/>
          <w:kern w:val="0"/>
          <w:sz w:val="32"/>
          <w:szCs w:val="32"/>
          <w:highlight w:val="none"/>
        </w:rPr>
      </w:pPr>
    </w:p>
    <w:p>
      <w:pPr>
        <w:pStyle w:val="5"/>
        <w:jc w:val="center"/>
        <w:rPr>
          <w:rFonts w:ascii="宋体" w:hAnsi="宋体"/>
          <w:snapToGrid w:val="0"/>
          <w:color w:val="auto"/>
          <w:kern w:val="0"/>
          <w:sz w:val="30"/>
          <w:szCs w:val="30"/>
          <w:highlight w:val="none"/>
        </w:rPr>
      </w:pPr>
      <w:r>
        <w:rPr>
          <w:rFonts w:ascii="宋体" w:hAnsi="宋体"/>
          <w:color w:val="auto"/>
          <w:highlight w:val="none"/>
        </w:rPr>
        <w:br w:type="page"/>
      </w:r>
      <w:bookmarkStart w:id="2285" w:name="_Toc5633"/>
      <w:bookmarkStart w:id="2286" w:name="_Toc25291"/>
      <w:bookmarkStart w:id="2287" w:name="_Toc430530546"/>
      <w:bookmarkStart w:id="2288" w:name="_Toc224103511"/>
      <w:bookmarkStart w:id="2289" w:name="_Toc287620830"/>
      <w:bookmarkStart w:id="2290" w:name="_Toc277082657"/>
      <w:bookmarkStart w:id="2291" w:name="_Toc287607883"/>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2285"/>
      <w:bookmarkEnd w:id="2286"/>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比选申请人名称：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（比选申请人名称）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pPr>
        <w:autoSpaceDE w:val="0"/>
        <w:autoSpaceDN w:val="0"/>
        <w:adjustRightInd w:val="0"/>
        <w:snapToGrid w:val="0"/>
        <w:spacing w:line="360" w:lineRule="auto"/>
        <w:jc w:val="left"/>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autoSpaceDE w:val="0"/>
        <w:autoSpaceDN w:val="0"/>
        <w:adjustRightInd w:val="0"/>
        <w:snapToGrid w:val="0"/>
        <w:spacing w:line="480" w:lineRule="auto"/>
        <w:ind w:firstLine="810" w:firstLineChars="386"/>
        <w:jc w:val="right"/>
        <w:rPr>
          <w:rFonts w:ascii="宋体" w:hAnsi="宋体"/>
          <w:color w:val="auto"/>
          <w:kern w:val="0"/>
          <w:sz w:val="20"/>
          <w:szCs w:val="20"/>
          <w:highlight w:val="none"/>
        </w:rPr>
      </w:pPr>
      <w:r>
        <w:rPr>
          <w:rFonts w:ascii="宋体" w:hAnsi="宋体"/>
          <w:color w:val="auto"/>
          <w:kern w:val="0"/>
          <w:szCs w:val="21"/>
          <w:highlight w:val="none"/>
        </w:rPr>
        <w:t>比选申请人：</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2287"/>
      <w:bookmarkEnd w:id="2288"/>
      <w:bookmarkEnd w:id="2289"/>
      <w:bookmarkEnd w:id="2290"/>
      <w:bookmarkEnd w:id="2291"/>
      <w:r>
        <w:rPr>
          <w:rFonts w:hint="eastAsia" w:ascii="宋体" w:hAnsi="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比选申请人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比选申请文件</w:t>
      </w:r>
      <w:r>
        <w:rPr>
          <w:rFonts w:ascii="宋体" w:hAnsi="宋体"/>
          <w:color w:val="auto"/>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6825"/>
        </w:tabs>
        <w:autoSpaceDE w:val="0"/>
        <w:autoSpaceDN w:val="0"/>
        <w:adjustRightInd w:val="0"/>
        <w:snapToGrid w:val="0"/>
        <w:spacing w:line="480" w:lineRule="auto"/>
        <w:jc w:val="left"/>
        <w:rPr>
          <w:rFonts w:ascii="宋体" w:hAnsi="宋体"/>
          <w:color w:val="auto"/>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比选申请文件</w:t>
      </w:r>
      <w:r>
        <w:rPr>
          <w:rFonts w:ascii="宋体" w:hAnsi="宋体"/>
          <w:color w:val="auto"/>
          <w:kern w:val="0"/>
          <w:szCs w:val="21"/>
          <w:highlight w:val="none"/>
        </w:rPr>
        <w:t>一并递交。另外须准备一份授权委托书原件在开标现场出具。</w:t>
      </w:r>
    </w:p>
    <w:p>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pStyle w:val="5"/>
        <w:spacing w:before="0" w:after="0" w:line="240" w:lineRule="auto"/>
        <w:jc w:val="center"/>
        <w:rPr>
          <w:rFonts w:ascii="宋体" w:hAnsi="宋体"/>
          <w:color w:val="auto"/>
          <w:highlight w:val="none"/>
        </w:rPr>
      </w:pPr>
      <w:bookmarkStart w:id="2292" w:name="_Toc277082659"/>
      <w:bookmarkStart w:id="2293" w:name="_Toc287607887"/>
      <w:r>
        <w:rPr>
          <w:rFonts w:ascii="宋体" w:hAnsi="宋体"/>
          <w:color w:val="auto"/>
          <w:szCs w:val="21"/>
          <w:highlight w:val="none"/>
        </w:rPr>
        <w:br w:type="page"/>
      </w:r>
      <w:bookmarkStart w:id="2294" w:name="_Toc17242"/>
      <w:r>
        <w:rPr>
          <w:rFonts w:hint="eastAsia" w:ascii="宋体" w:hAnsi="宋体"/>
          <w:b w:val="0"/>
          <w:bCs w:val="0"/>
          <w:color w:val="auto"/>
          <w:highlight w:val="none"/>
        </w:rPr>
        <w:t>（二）比选申请人基本情况表</w:t>
      </w:r>
      <w:bookmarkEnd w:id="2294"/>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比选申请人名称</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jc w:val="center"/>
        <w:rPr>
          <w:rFonts w:ascii="宋体" w:hAnsi="宋体"/>
          <w:color w:val="auto"/>
          <w:szCs w:val="21"/>
          <w:highlight w:val="none"/>
        </w:rPr>
      </w:pPr>
    </w:p>
    <w:p>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2295" w:name="_Toc509218863"/>
      <w:bookmarkStart w:id="2296" w:name="_Toc534185840"/>
      <w:bookmarkStart w:id="2297" w:name="_Toc23873"/>
      <w:r>
        <w:rPr>
          <w:rFonts w:hint="eastAsia" w:ascii="宋体" w:hAnsi="宋体"/>
          <w:b w:val="0"/>
          <w:bCs w:val="0"/>
          <w:color w:val="auto"/>
          <w:highlight w:val="none"/>
        </w:rPr>
        <w:t>（三）项目管理机构</w:t>
      </w:r>
      <w:bookmarkEnd w:id="2295"/>
      <w:bookmarkEnd w:id="2296"/>
      <w:bookmarkEnd w:id="2297"/>
    </w:p>
    <w:p>
      <w:pPr>
        <w:spacing w:line="360" w:lineRule="auto"/>
        <w:rPr>
          <w:rFonts w:ascii="宋体" w:hAnsi="宋体"/>
          <w:color w:val="auto"/>
          <w:highlight w:val="none"/>
        </w:rPr>
      </w:pPr>
    </w:p>
    <w:p>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olor w:val="auto"/>
                <w:kern w:val="0"/>
                <w:szCs w:val="21"/>
                <w:highlight w:val="none"/>
              </w:rPr>
            </w:pPr>
          </w:p>
        </w:tc>
        <w:tc>
          <w:tcPr>
            <w:tcW w:w="734" w:type="dxa"/>
            <w:vMerge w:val="continue"/>
          </w:tcPr>
          <w:p>
            <w:pPr>
              <w:autoSpaceDE w:val="0"/>
              <w:autoSpaceDN w:val="0"/>
              <w:adjustRightInd w:val="0"/>
              <w:snapToGrid w:val="0"/>
              <w:jc w:val="left"/>
              <w:rPr>
                <w:rFonts w:ascii="宋体" w:hAnsi="宋体"/>
                <w:color w:val="auto"/>
                <w:kern w:val="0"/>
                <w:szCs w:val="21"/>
                <w:highlight w:val="none"/>
              </w:rPr>
            </w:pPr>
          </w:p>
        </w:tc>
        <w:tc>
          <w:tcPr>
            <w:tcW w:w="776" w:type="dxa"/>
            <w:vMerge w:val="continue"/>
          </w:tcPr>
          <w:p>
            <w:pPr>
              <w:autoSpaceDE w:val="0"/>
              <w:autoSpaceDN w:val="0"/>
              <w:adjustRightInd w:val="0"/>
              <w:snapToGrid w:val="0"/>
              <w:jc w:val="left"/>
              <w:rPr>
                <w:rFonts w:ascii="宋体" w:hAnsi="宋体"/>
                <w:color w:val="auto"/>
                <w:kern w:val="0"/>
                <w:szCs w:val="21"/>
                <w:highlight w:val="none"/>
              </w:rPr>
            </w:pPr>
          </w:p>
        </w:tc>
        <w:tc>
          <w:tcPr>
            <w:tcW w:w="11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bl>
    <w:p>
      <w:pPr>
        <w:spacing w:line="20" w:lineRule="exact"/>
        <w:jc w:val="center"/>
        <w:rPr>
          <w:rFonts w:ascii="宋体" w:hAnsi="宋体"/>
          <w:color w:val="auto"/>
          <w:szCs w:val="21"/>
          <w:highlight w:val="none"/>
        </w:rPr>
      </w:pPr>
    </w:p>
    <w:p>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 xml:space="preserve"> 项目经理及项目技术负责人简历表</w:t>
      </w:r>
      <w:bookmarkEnd w:id="2292"/>
      <w:bookmarkEnd w:id="2293"/>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rPr>
          <w:rFonts w:ascii="宋体" w:hAnsi="宋体"/>
          <w:color w:val="auto"/>
          <w:highlight w:val="none"/>
        </w:rPr>
      </w:pPr>
      <w:bookmarkStart w:id="2298" w:name="_Toc224103515"/>
    </w:p>
    <w:p>
      <w:pPr>
        <w:spacing w:line="360" w:lineRule="auto"/>
        <w:jc w:val="center"/>
        <w:rPr>
          <w:rFonts w:ascii="宋体" w:hAnsi="宋体" w:cs="宋体"/>
          <w:b/>
          <w:color w:val="auto"/>
          <w:sz w:val="28"/>
          <w:szCs w:val="36"/>
          <w:highlight w:val="none"/>
        </w:rPr>
      </w:pPr>
      <w:r>
        <w:rPr>
          <w:rFonts w:hint="eastAsia" w:ascii="宋体" w:hAnsi="宋体" w:cs="宋体"/>
          <w:b/>
          <w:color w:val="auto"/>
          <w:sz w:val="28"/>
          <w:szCs w:val="36"/>
          <w:highlight w:val="none"/>
        </w:rPr>
        <w:t>项目经理委任书</w:t>
      </w:r>
    </w:p>
    <w:p>
      <w:pPr>
        <w:spacing w:line="360" w:lineRule="auto"/>
        <w:rPr>
          <w:rFonts w:ascii="宋体" w:hAnsi="宋体" w:cs="宋体"/>
          <w:color w:val="auto"/>
          <w:szCs w:val="21"/>
          <w:highlight w:val="none"/>
          <w:lang w:val="zh-CN"/>
        </w:rPr>
      </w:pPr>
    </w:p>
    <w:p>
      <w:pPr>
        <w:rPr>
          <w:rFonts w:ascii="宋体" w:hAnsi="宋体" w:cs="宋体"/>
          <w:color w:val="auto"/>
          <w:sz w:val="24"/>
          <w:highlight w:val="none"/>
          <w:lang w:val="zh-CN"/>
        </w:rPr>
      </w:pPr>
      <w:r>
        <w:rPr>
          <w:rFonts w:hint="eastAsia" w:ascii="宋体" w:hAnsi="宋体" w:cs="宋体"/>
          <w:color w:val="auto"/>
          <w:sz w:val="24"/>
          <w:highlight w:val="none"/>
          <w:lang w:val="zh-CN"/>
        </w:rPr>
        <w:t>致：</w:t>
      </w:r>
      <w:r>
        <w:rPr>
          <w:rFonts w:hint="eastAsia" w:ascii="宋体" w:hAnsi="宋体" w:cs="宋体"/>
          <w:b/>
          <w:color w:val="auto"/>
          <w:sz w:val="24"/>
          <w:highlight w:val="none"/>
          <w:u w:val="single"/>
        </w:rPr>
        <w:t xml:space="preserve">      （比选人名称）</w:t>
      </w:r>
    </w:p>
    <w:p>
      <w:pPr>
        <w:spacing w:line="480" w:lineRule="auto"/>
        <w:ind w:firstLine="720" w:firstLineChars="300"/>
        <w:jc w:val="left"/>
        <w:rPr>
          <w:rFonts w:ascii="宋体" w:hAnsi="宋体" w:cs="宋体"/>
          <w:color w:val="auto"/>
          <w:sz w:val="24"/>
          <w:highlight w:val="none"/>
          <w:lang w:val="zh-CN"/>
        </w:rPr>
      </w:pPr>
      <w:r>
        <w:rPr>
          <w:rFonts w:hint="eastAsia" w:ascii="宋体" w:hAnsi="宋体" w:cs="宋体"/>
          <w:color w:val="auto"/>
          <w:sz w:val="24"/>
          <w:highlight w:val="none"/>
          <w:lang w:val="zh-CN"/>
        </w:rPr>
        <w:t xml:space="preserve">法定代表人 </w:t>
      </w:r>
      <w:r>
        <w:rPr>
          <w:rFonts w:hint="eastAsia" w:ascii="宋体" w:hAnsi="宋体" w:cs="宋体"/>
          <w:color w:val="auto"/>
          <w:sz w:val="24"/>
          <w:highlight w:val="none"/>
          <w:u w:val="single"/>
          <w:lang w:val="zh-CN"/>
        </w:rPr>
        <w:t xml:space="preserve">    （职务、姓名）</w:t>
      </w:r>
      <w:r>
        <w:rPr>
          <w:rFonts w:hint="eastAsia" w:ascii="宋体" w:hAnsi="宋体" w:cs="宋体"/>
          <w:color w:val="auto"/>
          <w:sz w:val="24"/>
          <w:highlight w:val="none"/>
          <w:lang w:val="zh-CN"/>
        </w:rPr>
        <w:t xml:space="preserve">代表本单位委任 </w:t>
      </w:r>
      <w:r>
        <w:rPr>
          <w:rFonts w:hint="eastAsia" w:ascii="宋体" w:hAnsi="宋体" w:cs="宋体"/>
          <w:color w:val="auto"/>
          <w:sz w:val="24"/>
          <w:highlight w:val="none"/>
          <w:u w:val="single"/>
          <w:lang w:val="zh-CN"/>
        </w:rPr>
        <w:t xml:space="preserve">  （职务、姓名）</w:t>
      </w:r>
      <w:r>
        <w:rPr>
          <w:rFonts w:hint="eastAsia" w:ascii="宋体" w:hAnsi="宋体" w:cs="宋体"/>
          <w:color w:val="auto"/>
          <w:sz w:val="24"/>
          <w:highlight w:val="none"/>
          <w:lang w:val="zh-CN"/>
        </w:rPr>
        <w:t>为</w:t>
      </w:r>
      <w:r>
        <w:rPr>
          <w:rFonts w:hint="eastAsia" w:ascii="宋体" w:hAnsi="宋体" w:cs="宋体"/>
          <w:color w:val="auto"/>
          <w:sz w:val="24"/>
          <w:highlight w:val="none"/>
          <w:u w:val="single"/>
        </w:rPr>
        <w:t xml:space="preserve">   （工程名称）    </w:t>
      </w:r>
      <w:r>
        <w:rPr>
          <w:rFonts w:hint="eastAsia" w:ascii="宋体" w:hAnsi="宋体" w:cs="宋体"/>
          <w:color w:val="auto"/>
          <w:sz w:val="24"/>
          <w:highlight w:val="none"/>
          <w:lang w:val="zh-CN"/>
        </w:rPr>
        <w:t>的项目经理。</w:t>
      </w:r>
    </w:p>
    <w:p>
      <w:pPr>
        <w:tabs>
          <w:tab w:val="left" w:pos="4200"/>
          <w:tab w:val="left" w:pos="4620"/>
        </w:tabs>
        <w:autoSpaceDE w:val="0"/>
        <w:autoSpaceDN w:val="0"/>
        <w:snapToGrid w:val="0"/>
        <w:spacing w:line="360" w:lineRule="auto"/>
        <w:ind w:firstLine="1694"/>
        <w:jc w:val="left"/>
        <w:rPr>
          <w:rFonts w:ascii="宋体" w:hAnsi="宋体" w:cs="宋体"/>
          <w:color w:val="auto"/>
          <w:sz w:val="24"/>
          <w:highlight w:val="none"/>
        </w:rPr>
      </w:pPr>
    </w:p>
    <w:p>
      <w:pPr>
        <w:tabs>
          <w:tab w:val="left" w:pos="4200"/>
          <w:tab w:val="left" w:pos="4620"/>
        </w:tabs>
        <w:autoSpaceDE w:val="0"/>
        <w:autoSpaceDN w:val="0"/>
        <w:snapToGrid w:val="0"/>
        <w:spacing w:line="360" w:lineRule="auto"/>
        <w:ind w:firstLine="1694"/>
        <w:jc w:val="left"/>
        <w:rPr>
          <w:rFonts w:ascii="宋体" w:hAnsi="宋体" w:cs="宋体"/>
          <w:color w:val="auto"/>
          <w:sz w:val="24"/>
          <w:highlight w:val="none"/>
        </w:rPr>
      </w:pPr>
    </w:p>
    <w:p>
      <w:pPr>
        <w:tabs>
          <w:tab w:val="left" w:pos="4200"/>
          <w:tab w:val="left" w:pos="4620"/>
        </w:tabs>
        <w:autoSpaceDE w:val="0"/>
        <w:autoSpaceDN w:val="0"/>
        <w:snapToGrid w:val="0"/>
        <w:spacing w:line="360" w:lineRule="auto"/>
        <w:ind w:firstLine="1694"/>
        <w:jc w:val="left"/>
        <w:rPr>
          <w:rFonts w:ascii="宋体" w:hAnsi="宋体" w:cs="宋体"/>
          <w:color w:val="auto"/>
          <w:sz w:val="24"/>
          <w:highlight w:val="none"/>
        </w:rPr>
      </w:pPr>
      <w:r>
        <w:rPr>
          <w:rFonts w:hint="eastAsia" w:ascii="宋体" w:hAnsi="宋体" w:cs="宋体"/>
          <w:color w:val="auto"/>
          <w:sz w:val="24"/>
          <w:highlight w:val="none"/>
        </w:rPr>
        <w:t>比选申请人：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（盖单位法人章） </w:t>
      </w:r>
    </w:p>
    <w:p>
      <w:pPr>
        <w:tabs>
          <w:tab w:val="left" w:pos="6300"/>
        </w:tabs>
        <w:autoSpaceDE w:val="0"/>
        <w:autoSpaceDN w:val="0"/>
        <w:snapToGrid w:val="0"/>
        <w:spacing w:line="360" w:lineRule="auto"/>
        <w:ind w:firstLine="1680"/>
        <w:jc w:val="left"/>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tabs>
          <w:tab w:val="left" w:pos="5260"/>
        </w:tabs>
        <w:autoSpaceDE w:val="0"/>
        <w:autoSpaceDN w:val="0"/>
        <w:snapToGrid w:val="0"/>
        <w:spacing w:line="360" w:lineRule="auto"/>
        <w:ind w:firstLine="1680"/>
        <w:jc w:val="left"/>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pPr>
        <w:tabs>
          <w:tab w:val="left" w:pos="6720"/>
        </w:tabs>
        <w:autoSpaceDE w:val="0"/>
        <w:autoSpaceDN w:val="0"/>
        <w:snapToGrid w:val="0"/>
        <w:spacing w:line="360" w:lineRule="auto"/>
        <w:ind w:firstLine="1680"/>
        <w:jc w:val="left"/>
        <w:rPr>
          <w:rFonts w:ascii="宋体" w:hAnsi="宋体" w:cs="宋体"/>
          <w:color w:val="auto"/>
          <w:sz w:val="24"/>
          <w:highlight w:val="none"/>
        </w:rPr>
      </w:pPr>
      <w:r>
        <w:rPr>
          <w:rFonts w:hint="eastAsia" w:ascii="宋体" w:hAnsi="宋体" w:cs="宋体"/>
          <w:color w:val="auto"/>
          <w:sz w:val="24"/>
          <w:highlight w:val="none"/>
        </w:rPr>
        <w:t>项目经理：</w:t>
      </w:r>
      <w:r>
        <w:rPr>
          <w:rFonts w:hint="eastAsia" w:ascii="宋体" w:hAnsi="宋体" w:cs="宋体"/>
          <w:color w:val="auto"/>
          <w:sz w:val="24"/>
          <w:highlight w:val="none"/>
          <w:u w:val="single"/>
        </w:rPr>
        <w:tab/>
      </w:r>
      <w:r>
        <w:rPr>
          <w:rFonts w:hint="eastAsia" w:ascii="宋体" w:hAnsi="宋体" w:cs="宋体"/>
          <w:color w:val="auto"/>
          <w:sz w:val="24"/>
          <w:highlight w:val="none"/>
        </w:rPr>
        <w:t>（签</w:t>
      </w:r>
      <w:r>
        <w:rPr>
          <w:rFonts w:hint="eastAsia" w:ascii="宋体" w:hAnsi="宋体" w:cs="宋体"/>
          <w:color w:val="auto"/>
          <w:spacing w:val="-1"/>
          <w:sz w:val="24"/>
          <w:highlight w:val="none"/>
        </w:rPr>
        <w:t>字</w:t>
      </w:r>
      <w:r>
        <w:rPr>
          <w:rFonts w:hint="eastAsia" w:ascii="宋体" w:hAnsi="宋体" w:cs="宋体"/>
          <w:color w:val="auto"/>
          <w:sz w:val="24"/>
          <w:highlight w:val="none"/>
        </w:rPr>
        <w:t>）</w:t>
      </w:r>
    </w:p>
    <w:p>
      <w:pPr>
        <w:tabs>
          <w:tab w:val="left" w:pos="6825"/>
        </w:tabs>
        <w:autoSpaceDE w:val="0"/>
        <w:autoSpaceDN w:val="0"/>
        <w:snapToGrid w:val="0"/>
        <w:spacing w:line="360" w:lineRule="auto"/>
        <w:ind w:firstLine="1680"/>
        <w:jc w:val="left"/>
        <w:rPr>
          <w:rFonts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ab/>
      </w:r>
    </w:p>
    <w:p>
      <w:pPr>
        <w:tabs>
          <w:tab w:val="left" w:pos="6825"/>
        </w:tabs>
        <w:autoSpaceDE w:val="0"/>
        <w:autoSpaceDN w:val="0"/>
        <w:snapToGrid w:val="0"/>
        <w:spacing w:line="360" w:lineRule="auto"/>
        <w:ind w:firstLine="1680"/>
        <w:jc w:val="left"/>
        <w:rPr>
          <w:rFonts w:ascii="宋体" w:hAnsi="宋体" w:cs="宋体"/>
          <w:color w:val="auto"/>
          <w:sz w:val="24"/>
          <w:highlight w:val="none"/>
        </w:rPr>
      </w:pPr>
      <w:r>
        <w:rPr>
          <w:rFonts w:hint="eastAsia" w:ascii="宋体" w:hAnsi="宋体" w:cs="宋体"/>
          <w:bCs/>
          <w:color w:val="auto"/>
          <w:sz w:val="24"/>
          <w:highlight w:val="none"/>
        </w:rPr>
        <w:t>社保号码：</w:t>
      </w:r>
      <w:r>
        <w:rPr>
          <w:rFonts w:hint="eastAsia" w:ascii="宋体" w:hAnsi="宋体" w:cs="宋体"/>
          <w:bCs/>
          <w:color w:val="auto"/>
          <w:sz w:val="24"/>
          <w:highlight w:val="none"/>
          <w:u w:val="single"/>
        </w:rPr>
        <w:tab/>
      </w:r>
    </w:p>
    <w:p>
      <w:pPr>
        <w:spacing w:line="480" w:lineRule="auto"/>
        <w:jc w:val="center"/>
        <w:rPr>
          <w:rFonts w:ascii="宋体" w:hAnsi="宋体" w:cs="宋体"/>
          <w:color w:val="auto"/>
          <w:sz w:val="24"/>
          <w:highlight w:val="none"/>
          <w:lang w:val="zh-CN"/>
        </w:rPr>
      </w:pP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hint="eastAsia" w:ascii="宋体" w:hAnsi="宋体" w:cs="宋体"/>
          <w:color w:val="auto"/>
          <w:sz w:val="24"/>
          <w:highlight w:val="none"/>
        </w:rPr>
        <w:t>日</w:t>
      </w:r>
    </w:p>
    <w:p>
      <w:pPr>
        <w:tabs>
          <w:tab w:val="left" w:pos="4005"/>
          <w:tab w:val="left" w:pos="4100"/>
          <w:tab w:val="left" w:pos="5040"/>
        </w:tabs>
        <w:autoSpaceDE w:val="0"/>
        <w:autoSpaceDN w:val="0"/>
        <w:snapToGrid w:val="0"/>
        <w:spacing w:line="360" w:lineRule="auto"/>
        <w:jc w:val="left"/>
        <w:rPr>
          <w:rFonts w:ascii="宋体" w:hAnsi="宋体" w:cs="宋体"/>
          <w:color w:val="auto"/>
          <w:sz w:val="24"/>
          <w:highlight w:val="none"/>
          <w:lang w:val="zh-CN"/>
        </w:rPr>
      </w:pPr>
    </w:p>
    <w:tbl>
      <w:tblPr>
        <w:tblStyle w:val="46"/>
        <w:tblpPr w:leftFromText="180" w:rightFromText="180" w:vertAnchor="text" w:horzAnchor="page" w:tblpX="3835" w:tblpY="146"/>
        <w:tblW w:w="5884"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884"/>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955" w:hRule="atLeast"/>
        </w:trPr>
        <w:tc>
          <w:tcPr>
            <w:tcW w:w="5884" w:type="dxa"/>
            <w:tcBorders>
              <w:top w:val="dotDotDash" w:color="auto" w:sz="4" w:space="0"/>
              <w:left w:val="dotDotDash" w:color="auto" w:sz="4" w:space="0"/>
              <w:bottom w:val="dotDotDash" w:color="auto" w:sz="4" w:space="0"/>
              <w:right w:val="dotDotDash" w:color="auto" w:sz="4" w:space="0"/>
            </w:tcBorders>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项目经理身份证复印件</w:t>
            </w: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(双面)</w:t>
            </w:r>
          </w:p>
        </w:tc>
      </w:tr>
    </w:tbl>
    <w:p>
      <w:pPr>
        <w:autoSpaceDE w:val="0"/>
        <w:autoSpaceDN w:val="0"/>
        <w:spacing w:line="240" w:lineRule="atLeast"/>
        <w:ind w:firstLine="480" w:firstLineChars="200"/>
        <w:jc w:val="left"/>
        <w:rPr>
          <w:rFonts w:ascii="宋体" w:hAnsi="宋体" w:cs="宋体"/>
          <w:color w:val="auto"/>
          <w:sz w:val="24"/>
          <w:highlight w:val="none"/>
        </w:rPr>
      </w:pPr>
    </w:p>
    <w:p>
      <w:pPr>
        <w:autoSpaceDE w:val="0"/>
        <w:autoSpaceDN w:val="0"/>
        <w:spacing w:line="240" w:lineRule="atLeast"/>
        <w:ind w:firstLine="480" w:firstLineChars="200"/>
        <w:jc w:val="left"/>
        <w:rPr>
          <w:rFonts w:ascii="宋体" w:hAnsi="宋体" w:cs="宋体"/>
          <w:color w:val="auto"/>
          <w:sz w:val="24"/>
          <w:highlight w:val="none"/>
        </w:rPr>
      </w:pPr>
    </w:p>
    <w:p>
      <w:pPr>
        <w:autoSpaceDE w:val="0"/>
        <w:autoSpaceDN w:val="0"/>
        <w:spacing w:line="240" w:lineRule="atLeast"/>
        <w:ind w:firstLine="480" w:firstLineChars="200"/>
        <w:jc w:val="left"/>
        <w:rPr>
          <w:rFonts w:ascii="宋体" w:hAnsi="宋体" w:cs="宋体"/>
          <w:color w:val="auto"/>
          <w:sz w:val="24"/>
          <w:highlight w:val="none"/>
        </w:rPr>
      </w:pPr>
    </w:p>
    <w:p>
      <w:pPr>
        <w:autoSpaceDE w:val="0"/>
        <w:autoSpaceDN w:val="0"/>
        <w:spacing w:line="240" w:lineRule="atLeast"/>
        <w:ind w:firstLine="480" w:firstLineChars="200"/>
        <w:jc w:val="left"/>
        <w:rPr>
          <w:rFonts w:ascii="宋体" w:hAnsi="宋体" w:cs="宋体"/>
          <w:color w:val="auto"/>
          <w:sz w:val="24"/>
          <w:highlight w:val="none"/>
        </w:rPr>
      </w:pPr>
    </w:p>
    <w:p>
      <w:pPr>
        <w:autoSpaceDE w:val="0"/>
        <w:autoSpaceDN w:val="0"/>
        <w:spacing w:line="240" w:lineRule="atLeast"/>
        <w:ind w:firstLine="480" w:firstLineChars="200"/>
        <w:jc w:val="left"/>
        <w:rPr>
          <w:rFonts w:ascii="宋体" w:hAnsi="宋体" w:cs="宋体"/>
          <w:color w:val="auto"/>
          <w:sz w:val="24"/>
          <w:highlight w:val="none"/>
        </w:rPr>
      </w:pPr>
    </w:p>
    <w:p>
      <w:pPr>
        <w:autoSpaceDE w:val="0"/>
        <w:autoSpaceDN w:val="0"/>
        <w:spacing w:line="240" w:lineRule="atLeast"/>
        <w:ind w:firstLine="420" w:firstLineChars="200"/>
        <w:jc w:val="left"/>
        <w:rPr>
          <w:rFonts w:ascii="宋体" w:hAnsi="宋体" w:cs="宋体"/>
          <w:color w:val="auto"/>
          <w:szCs w:val="21"/>
          <w:highlight w:val="none"/>
        </w:rPr>
      </w:pPr>
    </w:p>
    <w:p>
      <w:pPr>
        <w:autoSpaceDE w:val="0"/>
        <w:autoSpaceDN w:val="0"/>
        <w:spacing w:line="240" w:lineRule="atLeast"/>
        <w:ind w:firstLine="420" w:firstLineChars="200"/>
        <w:jc w:val="left"/>
        <w:rPr>
          <w:rFonts w:ascii="宋体" w:hAnsi="宋体" w:cs="宋体"/>
          <w:color w:val="auto"/>
          <w:szCs w:val="21"/>
          <w:highlight w:val="none"/>
        </w:rPr>
      </w:pPr>
    </w:p>
    <w:p>
      <w:pPr>
        <w:autoSpaceDE w:val="0"/>
        <w:autoSpaceDN w:val="0"/>
        <w:spacing w:line="240" w:lineRule="atLeast"/>
        <w:ind w:firstLine="420" w:firstLineChars="200"/>
        <w:jc w:val="left"/>
        <w:rPr>
          <w:rFonts w:ascii="宋体" w:hAnsi="宋体" w:cs="宋体"/>
          <w:color w:val="auto"/>
          <w:szCs w:val="21"/>
          <w:highlight w:val="none"/>
        </w:rPr>
      </w:pPr>
    </w:p>
    <w:p>
      <w:pPr>
        <w:pStyle w:val="65"/>
        <w:rPr>
          <w:color w:val="auto"/>
          <w:highlight w:val="none"/>
        </w:rPr>
      </w:pPr>
    </w:p>
    <w:p>
      <w:pPr>
        <w:pStyle w:val="5"/>
        <w:spacing w:before="0" w:line="240" w:lineRule="auto"/>
        <w:jc w:val="center"/>
        <w:rPr>
          <w:rFonts w:ascii="宋体" w:hAnsi="宋体"/>
          <w:b w:val="0"/>
          <w:color w:val="auto"/>
          <w:highlight w:val="none"/>
        </w:rPr>
      </w:pPr>
      <w:bookmarkStart w:id="2299" w:name="_Toc1305"/>
      <w:bookmarkStart w:id="2300" w:name="_Toc277082660"/>
      <w:bookmarkStart w:id="2301" w:name="_Toc534185841"/>
      <w:bookmarkStart w:id="2302" w:name="_Toc287620834"/>
      <w:bookmarkStart w:id="2303" w:name="_Toc430530550"/>
      <w:bookmarkStart w:id="2304" w:name="_Toc509218864"/>
      <w:bookmarkStart w:id="2305" w:name="_Toc287607888"/>
    </w:p>
    <w:p>
      <w:pPr>
        <w:rPr>
          <w:color w:val="auto"/>
          <w:highlight w:val="none"/>
        </w:rPr>
      </w:pPr>
    </w:p>
    <w:p>
      <w:pPr>
        <w:pStyle w:val="5"/>
        <w:spacing w:before="0" w:line="240" w:lineRule="auto"/>
        <w:jc w:val="center"/>
        <w:rPr>
          <w:rFonts w:ascii="宋体" w:hAnsi="宋体"/>
          <w:b w:val="0"/>
          <w:color w:val="auto"/>
          <w:highlight w:val="none"/>
        </w:rPr>
      </w:pPr>
    </w:p>
    <w:p>
      <w:pPr>
        <w:rPr>
          <w:rFonts w:ascii="宋体" w:hAnsi="宋体"/>
          <w:color w:val="auto"/>
          <w:highlight w:val="none"/>
        </w:rPr>
      </w:pPr>
    </w:p>
    <w:p>
      <w:pPr>
        <w:pStyle w:val="65"/>
        <w:rPr>
          <w:color w:val="auto"/>
          <w:highlight w:val="none"/>
        </w:rPr>
      </w:pPr>
    </w:p>
    <w:bookmarkEnd w:id="2298"/>
    <w:bookmarkEnd w:id="2299"/>
    <w:bookmarkEnd w:id="2300"/>
    <w:bookmarkEnd w:id="2301"/>
    <w:bookmarkEnd w:id="2302"/>
    <w:bookmarkEnd w:id="2303"/>
    <w:bookmarkEnd w:id="2304"/>
    <w:bookmarkEnd w:id="2305"/>
    <w:p>
      <w:pPr>
        <w:pStyle w:val="5"/>
        <w:spacing w:before="0" w:after="0" w:line="360" w:lineRule="auto"/>
        <w:jc w:val="center"/>
        <w:rPr>
          <w:rFonts w:ascii="宋体" w:hAnsi="宋体"/>
          <w:b w:val="0"/>
          <w:color w:val="auto"/>
          <w:highlight w:val="none"/>
        </w:rPr>
      </w:pPr>
      <w:bookmarkStart w:id="2306" w:name="_Toc287607893"/>
      <w:bookmarkStart w:id="2307" w:name="_Toc430530552"/>
      <w:bookmarkStart w:id="2308" w:name="_Toc224103520"/>
      <w:bookmarkStart w:id="2309" w:name="_Toc287620839"/>
      <w:bookmarkStart w:id="2310" w:name="_Toc277082663"/>
      <w:bookmarkStart w:id="2311" w:name="_Toc15852"/>
      <w:bookmarkStart w:id="2312" w:name="_Toc534185843"/>
      <w:bookmarkStart w:id="2313" w:name="_Toc509218866"/>
      <w:r>
        <w:rPr>
          <w:rFonts w:ascii="宋体" w:hAnsi="宋体"/>
          <w:b w:val="0"/>
          <w:color w:val="auto"/>
          <w:highlight w:val="none"/>
        </w:rPr>
        <w:t>（</w:t>
      </w:r>
      <w:r>
        <w:rPr>
          <w:rFonts w:hint="eastAsia" w:ascii="宋体" w:hAnsi="宋体"/>
          <w:b w:val="0"/>
          <w:color w:val="auto"/>
          <w:highlight w:val="none"/>
        </w:rPr>
        <w:t>四</w:t>
      </w:r>
      <w:r>
        <w:rPr>
          <w:rFonts w:ascii="宋体" w:hAnsi="宋体"/>
          <w:b w:val="0"/>
          <w:color w:val="auto"/>
          <w:highlight w:val="none"/>
        </w:rPr>
        <w:t>）</w:t>
      </w:r>
      <w:bookmarkEnd w:id="2306"/>
      <w:bookmarkEnd w:id="2307"/>
      <w:bookmarkEnd w:id="2308"/>
      <w:bookmarkEnd w:id="2309"/>
      <w:bookmarkEnd w:id="2310"/>
      <w:r>
        <w:rPr>
          <w:rFonts w:hint="eastAsia" w:ascii="宋体" w:hAnsi="宋体"/>
          <w:b w:val="0"/>
          <w:color w:val="auto"/>
          <w:highlight w:val="none"/>
        </w:rPr>
        <w:t>承诺</w:t>
      </w:r>
      <w:bookmarkEnd w:id="2311"/>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项目经理承诺书</w:t>
      </w:r>
    </w:p>
    <w:p>
      <w:pPr>
        <w:rPr>
          <w:rFonts w:ascii="宋体" w:hAnsi="宋体" w:cs="宋体"/>
          <w:color w:val="auto"/>
          <w:szCs w:val="21"/>
          <w:highlight w:val="none"/>
        </w:rPr>
      </w:pPr>
    </w:p>
    <w:p>
      <w:pPr>
        <w:rPr>
          <w:rFonts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（比选人）</w:t>
      </w:r>
    </w:p>
    <w:p>
      <w:pPr>
        <w:ind w:firstLine="42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（姓名），项目经理证书编号：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（承包人）委派，拟在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（项目名称）担任项目经理一职。</w:t>
      </w:r>
    </w:p>
    <w:p>
      <w:pPr>
        <w:ind w:firstLine="420"/>
        <w:rPr>
          <w:rFonts w:ascii="宋体" w:hAnsi="宋体" w:cs="宋体"/>
          <w:color w:val="auto"/>
          <w:szCs w:val="21"/>
          <w:highlight w:val="none"/>
        </w:rPr>
      </w:pPr>
      <w:r>
        <w:rPr>
          <w:rFonts w:hint="eastAsia" w:ascii="宋体" w:hAnsi="宋体" w:cs="宋体"/>
          <w:color w:val="auto"/>
          <w:szCs w:val="21"/>
          <w:highlight w:val="none"/>
        </w:rPr>
        <w:t>为加强本工程项目管理，保证我公司在中</w:t>
      </w:r>
      <w:r>
        <w:rPr>
          <w:rFonts w:hint="eastAsia" w:ascii="宋体" w:hAnsi="宋体" w:cs="宋体"/>
          <w:snapToGrid w:val="0"/>
          <w:color w:val="auto"/>
          <w:szCs w:val="21"/>
          <w:highlight w:val="none"/>
        </w:rPr>
        <w:t>选</w:t>
      </w:r>
      <w:r>
        <w:rPr>
          <w:rFonts w:hint="eastAsia" w:ascii="宋体" w:hAnsi="宋体" w:cs="宋体"/>
          <w:color w:val="auto"/>
          <w:szCs w:val="21"/>
          <w:highlight w:val="none"/>
        </w:rPr>
        <w:t>后严格履行与发包人签定的工程建设承包合同，圆满的完成本项工程，我愿就此做出以下承诺：</w:t>
      </w:r>
    </w:p>
    <w:p>
      <w:pPr>
        <w:ind w:firstLine="420"/>
        <w:rPr>
          <w:rFonts w:ascii="宋体" w:hAnsi="宋体" w:cs="宋体"/>
          <w:color w:val="auto"/>
          <w:szCs w:val="21"/>
          <w:highlight w:val="none"/>
        </w:rPr>
      </w:pPr>
      <w:r>
        <w:rPr>
          <w:rFonts w:hint="eastAsia" w:ascii="宋体" w:hAnsi="宋体" w:cs="宋体"/>
          <w:color w:val="auto"/>
          <w:szCs w:val="21"/>
          <w:highlight w:val="none"/>
        </w:rPr>
        <w:t>1、我本人作为公司选派的本项目的项目经理，我保证自即日起至项目竣工并通过验收之日止，严格按照法律法规和合同约定，自始至终全过程常驻工地现场，代表我公司全面负责本工程现场组织、管理协调等工作，履行项目经理职责。并承诺在本工程责任保修期内，根据保修工作需要也能随时到场负责安排和履行保修工作。</w:t>
      </w:r>
    </w:p>
    <w:p>
      <w:pPr>
        <w:ind w:firstLine="420"/>
        <w:rPr>
          <w:rFonts w:ascii="宋体" w:hAnsi="宋体" w:cs="宋体"/>
          <w:color w:val="auto"/>
          <w:szCs w:val="21"/>
          <w:highlight w:val="none"/>
        </w:rPr>
      </w:pPr>
      <w:r>
        <w:rPr>
          <w:rFonts w:hint="eastAsia" w:ascii="宋体" w:hAnsi="宋体" w:cs="宋体"/>
          <w:color w:val="auto"/>
          <w:szCs w:val="21"/>
          <w:highlight w:val="none"/>
        </w:rPr>
        <w:t>2、我本人保证在工程签订合同之日起至工程竣工验收完成期间只担任此工程的项目经理，不在其他任何工程担任职务。</w:t>
      </w:r>
    </w:p>
    <w:p>
      <w:pPr>
        <w:ind w:firstLine="420"/>
        <w:rPr>
          <w:rFonts w:ascii="宋体" w:hAnsi="宋体" w:cs="宋体"/>
          <w:color w:val="auto"/>
          <w:szCs w:val="21"/>
          <w:highlight w:val="none"/>
        </w:rPr>
      </w:pPr>
      <w:r>
        <w:rPr>
          <w:rFonts w:hint="eastAsia" w:ascii="宋体" w:hAnsi="宋体" w:cs="宋体"/>
          <w:color w:val="auto"/>
          <w:szCs w:val="21"/>
          <w:highlight w:val="none"/>
        </w:rPr>
        <w:t>3、我本人如果违背以上承诺，自愿接受发包人和监理人给予我本人的批评和处罚，并同意就此作为我个人的不良纪录向建设主管部门及项目经理证书注册、备案、审批机构等有关部门职能通报和相关部门给予的扣分扣证等处罚，同时承担相关法律责任。</w:t>
      </w:r>
    </w:p>
    <w:p>
      <w:pPr>
        <w:ind w:firstLine="420"/>
        <w:rPr>
          <w:rFonts w:ascii="宋体" w:hAnsi="宋体" w:cs="宋体"/>
          <w:color w:val="auto"/>
          <w:szCs w:val="21"/>
          <w:highlight w:val="none"/>
        </w:rPr>
      </w:pPr>
      <w:r>
        <w:rPr>
          <w:rFonts w:hint="eastAsia" w:ascii="宋体" w:hAnsi="宋体" w:cs="宋体"/>
          <w:color w:val="auto"/>
          <w:szCs w:val="21"/>
          <w:highlight w:val="none"/>
        </w:rPr>
        <w:t>4、我本人作为本工程项目经理的职责包括但不仅限于上述情况，如有未尽详细事宜，参照国家法律法规和合同的条款执行。</w:t>
      </w:r>
    </w:p>
    <w:p>
      <w:pPr>
        <w:ind w:firstLine="420"/>
        <w:rPr>
          <w:rFonts w:ascii="宋体" w:hAnsi="宋体" w:cs="宋体"/>
          <w:b/>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、我本人每个月至少在岗时间为22日历天。</w:t>
      </w:r>
    </w:p>
    <w:p>
      <w:pPr>
        <w:ind w:firstLine="420"/>
        <w:rPr>
          <w:rFonts w:ascii="宋体" w:hAnsi="宋体" w:cs="宋体"/>
          <w:color w:val="auto"/>
          <w:szCs w:val="21"/>
          <w:highlight w:val="none"/>
        </w:rPr>
      </w:pPr>
      <w:r>
        <w:rPr>
          <w:rFonts w:hint="eastAsia" w:ascii="宋体" w:hAnsi="宋体" w:cs="宋体"/>
          <w:color w:val="auto"/>
          <w:szCs w:val="21"/>
          <w:highlight w:val="none"/>
        </w:rPr>
        <w:t>6、本承诺为无条件的承诺，不可收回。</w:t>
      </w:r>
    </w:p>
    <w:p>
      <w:pPr>
        <w:ind w:firstLine="420"/>
        <w:rPr>
          <w:rFonts w:ascii="宋体" w:hAnsi="宋体" w:cs="宋体"/>
          <w:b/>
          <w:color w:val="auto"/>
          <w:szCs w:val="21"/>
          <w:highlight w:val="none"/>
        </w:rPr>
      </w:pPr>
    </w:p>
    <w:tbl>
      <w:tblPr>
        <w:tblStyle w:val="46"/>
        <w:tblpPr w:leftFromText="180" w:rightFromText="180" w:vertAnchor="text" w:horzAnchor="margin" w:tblpXSpec="right" w:tblpY="201"/>
        <w:tblW w:w="2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744" w:type="dxa"/>
          </w:tcPr>
          <w:p>
            <w:pPr>
              <w:jc w:val="center"/>
              <w:rPr>
                <w:rFonts w:ascii="宋体" w:hAnsi="宋体" w:cs="宋体"/>
                <w:b/>
                <w:color w:val="auto"/>
                <w:szCs w:val="21"/>
                <w:highlight w:val="none"/>
              </w:rPr>
            </w:pPr>
            <w:r>
              <w:rPr>
                <w:rFonts w:hint="eastAsia" w:ascii="宋体" w:hAnsi="宋体" w:cs="宋体"/>
                <w:b/>
                <w:color w:val="auto"/>
                <w:szCs w:val="21"/>
                <w:highlight w:val="none"/>
              </w:rPr>
              <w:t>项目经理身份证复印件</w:t>
            </w:r>
          </w:p>
          <w:p>
            <w:pPr>
              <w:jc w:val="center"/>
              <w:rPr>
                <w:rFonts w:ascii="宋体" w:hAnsi="宋体" w:cs="宋体"/>
                <w:b/>
                <w:color w:val="auto"/>
                <w:szCs w:val="21"/>
                <w:highlight w:val="none"/>
              </w:rPr>
            </w:pPr>
            <w:r>
              <w:rPr>
                <w:rFonts w:hint="eastAsia" w:ascii="宋体" w:hAnsi="宋体" w:cs="宋体"/>
                <w:b/>
                <w:color w:val="auto"/>
                <w:szCs w:val="21"/>
                <w:highlight w:val="none"/>
              </w:rPr>
              <w:t>项目经理证书复印件</w:t>
            </w:r>
          </w:p>
          <w:p>
            <w:pPr>
              <w:jc w:val="center"/>
              <w:rPr>
                <w:rFonts w:ascii="宋体" w:hAnsi="宋体" w:cs="宋体"/>
                <w:b/>
                <w:color w:val="auto"/>
                <w:szCs w:val="21"/>
                <w:highlight w:val="none"/>
              </w:rPr>
            </w:pPr>
            <w:r>
              <w:rPr>
                <w:rFonts w:hint="eastAsia" w:ascii="宋体" w:hAnsi="宋体" w:cs="宋体"/>
                <w:b/>
                <w:color w:val="auto"/>
                <w:szCs w:val="21"/>
                <w:highlight w:val="none"/>
              </w:rPr>
              <w:t>粘贴区</w:t>
            </w:r>
          </w:p>
          <w:p>
            <w:pPr>
              <w:jc w:val="center"/>
              <w:rPr>
                <w:rFonts w:ascii="宋体" w:hAnsi="宋体" w:cs="宋体"/>
                <w:color w:val="auto"/>
                <w:szCs w:val="21"/>
                <w:highlight w:val="none"/>
              </w:rPr>
            </w:pPr>
            <w:r>
              <w:rPr>
                <w:rFonts w:hint="eastAsia" w:ascii="宋体" w:hAnsi="宋体" w:cs="宋体"/>
                <w:b/>
                <w:color w:val="auto"/>
                <w:szCs w:val="21"/>
                <w:highlight w:val="none"/>
              </w:rPr>
              <w:t>（如粘贴内容过多，比选申请人可自行增页）</w:t>
            </w:r>
          </w:p>
        </w:tc>
      </w:tr>
    </w:tbl>
    <w:p>
      <w:pPr>
        <w:rPr>
          <w:rFonts w:ascii="宋体" w:hAnsi="宋体" w:cs="宋体"/>
          <w:color w:val="auto"/>
          <w:szCs w:val="21"/>
          <w:highlight w:val="none"/>
        </w:rPr>
      </w:pPr>
      <w:r>
        <w:rPr>
          <w:rFonts w:hint="eastAsia" w:ascii="宋体" w:hAnsi="宋体" w:cs="宋体"/>
          <w:color w:val="auto"/>
          <w:szCs w:val="21"/>
          <w:highlight w:val="none"/>
        </w:rPr>
        <w:t>特此承诺。</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附项目经理身份证复印件</w:t>
      </w:r>
    </w:p>
    <w:p>
      <w:pPr>
        <w:rPr>
          <w:rFonts w:ascii="宋体" w:hAnsi="宋体" w:cs="宋体"/>
          <w:color w:val="auto"/>
          <w:szCs w:val="21"/>
          <w:highlight w:val="none"/>
        </w:rPr>
      </w:pPr>
      <w:r>
        <w:rPr>
          <w:rFonts w:hint="eastAsia" w:ascii="宋体" w:hAnsi="宋体" w:cs="宋体"/>
          <w:color w:val="auto"/>
          <w:szCs w:val="21"/>
          <w:highlight w:val="none"/>
        </w:rPr>
        <w:t>项目经理证书复印件</w:t>
      </w:r>
    </w:p>
    <w:p>
      <w:pPr>
        <w:rPr>
          <w:rFonts w:ascii="宋体" w:hAnsi="宋体" w:cs="宋体"/>
          <w:color w:val="auto"/>
          <w:szCs w:val="21"/>
          <w:highlight w:val="none"/>
        </w:rPr>
      </w:pPr>
      <w:r>
        <w:rPr>
          <w:rFonts w:hint="eastAsia" w:ascii="宋体" w:hAnsi="宋体" w:cs="宋体"/>
          <w:color w:val="auto"/>
          <w:szCs w:val="21"/>
          <w:highlight w:val="none"/>
        </w:rPr>
        <w:t xml:space="preserve">              </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项目经理签名：</w:t>
      </w:r>
    </w:p>
    <w:p>
      <w:pPr>
        <w:rPr>
          <w:rFonts w:ascii="宋体" w:hAnsi="宋体" w:cs="宋体"/>
          <w:color w:val="auto"/>
          <w:szCs w:val="21"/>
          <w:highlight w:val="none"/>
        </w:rPr>
      </w:pPr>
      <w:r>
        <w:rPr>
          <w:rFonts w:hint="eastAsia" w:ascii="宋体" w:hAnsi="宋体" w:cs="宋体"/>
          <w:color w:val="auto"/>
          <w:szCs w:val="21"/>
          <w:highlight w:val="none"/>
        </w:rPr>
        <w:t>手印：</w:t>
      </w:r>
    </w:p>
    <w:p>
      <w:pPr>
        <w:rPr>
          <w:rFonts w:ascii="宋体" w:hAnsi="宋体" w:cs="宋体"/>
          <w:color w:val="auto"/>
          <w:szCs w:val="21"/>
          <w:highlight w:val="none"/>
        </w:rPr>
      </w:pPr>
      <w:r>
        <w:rPr>
          <w:rFonts w:hint="eastAsia" w:ascii="宋体" w:hAnsi="宋体" w:cs="宋体"/>
          <w:color w:val="auto"/>
          <w:szCs w:val="21"/>
          <w:highlight w:val="none"/>
        </w:rPr>
        <w:t>日期：</w:t>
      </w:r>
    </w:p>
    <w:p>
      <w:pPr>
        <w:rPr>
          <w:rFonts w:ascii="宋体" w:hAnsi="宋体" w:cs="宋体"/>
          <w:color w:val="auto"/>
          <w:szCs w:val="21"/>
          <w:highlight w:val="none"/>
        </w:rPr>
      </w:pPr>
    </w:p>
    <w:p>
      <w:pPr>
        <w:rPr>
          <w:rFonts w:ascii="宋体" w:hAnsi="宋体" w:cs="宋体"/>
          <w:color w:val="auto"/>
          <w:szCs w:val="21"/>
          <w:highlight w:val="none"/>
          <w:u w:val="single"/>
        </w:rPr>
      </w:pPr>
      <w:r>
        <w:rPr>
          <w:rFonts w:hint="eastAsia" w:ascii="宋体" w:hAnsi="宋体" w:cs="宋体"/>
          <w:color w:val="auto"/>
          <w:szCs w:val="21"/>
          <w:highlight w:val="none"/>
        </w:rPr>
        <w:t>致（比选人）：</w:t>
      </w:r>
    </w:p>
    <w:p>
      <w:pPr>
        <w:ind w:firstLine="420"/>
        <w:rPr>
          <w:rFonts w:ascii="宋体" w:hAnsi="宋体" w:cs="宋体"/>
          <w:color w:val="auto"/>
          <w:szCs w:val="21"/>
          <w:highlight w:val="none"/>
        </w:rPr>
      </w:pPr>
      <w:r>
        <w:rPr>
          <w:rFonts w:hint="eastAsia" w:ascii="宋体" w:hAnsi="宋体" w:cs="宋体"/>
          <w:color w:val="auto"/>
          <w:szCs w:val="21"/>
          <w:highlight w:val="none"/>
        </w:rPr>
        <w:t>针对</w:t>
      </w:r>
      <w:r>
        <w:rPr>
          <w:rFonts w:hint="eastAsia" w:ascii="宋体" w:hAnsi="宋体" w:cs="宋体"/>
          <w:color w:val="auto"/>
          <w:szCs w:val="21"/>
          <w:highlight w:val="none"/>
          <w:u w:val="single"/>
        </w:rPr>
        <w:t xml:space="preserve">       （项目经理姓名）的</w:t>
      </w:r>
      <w:r>
        <w:rPr>
          <w:rFonts w:hint="eastAsia" w:ascii="宋体" w:hAnsi="宋体" w:cs="宋体"/>
          <w:color w:val="auto"/>
          <w:szCs w:val="21"/>
          <w:highlight w:val="none"/>
        </w:rPr>
        <w:t>以上《项目经理承诺书》，我单位无条件承担法律和合同约定的全部连带责任。</w:t>
      </w:r>
    </w:p>
    <w:p>
      <w:pPr>
        <w:ind w:firstLine="420"/>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比选申请人：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（盖单位法人章）</w:t>
      </w:r>
    </w:p>
    <w:p>
      <w:pPr>
        <w:rPr>
          <w:rFonts w:ascii="宋体" w:hAnsi="宋体" w:cs="宋体"/>
          <w:color w:val="auto"/>
          <w:szCs w:val="21"/>
          <w:highlight w:val="none"/>
        </w:rPr>
      </w:pPr>
      <w:r>
        <w:rPr>
          <w:rFonts w:hint="eastAsia" w:ascii="宋体" w:hAnsi="宋体" w:cs="宋体"/>
          <w:color w:val="auto"/>
          <w:szCs w:val="21"/>
          <w:highlight w:val="none"/>
        </w:rPr>
        <w:t>法定代表人签名及印章：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rPr>
          <w:rFonts w:ascii="宋体" w:hAnsi="宋体" w:cs="宋体"/>
          <w:color w:val="auto"/>
          <w:szCs w:val="21"/>
          <w:highlight w:val="none"/>
          <w:u w:val="singl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pPr>
        <w:autoSpaceDE w:val="0"/>
        <w:autoSpaceDN w:val="0"/>
        <w:spacing w:line="360" w:lineRule="auto"/>
        <w:ind w:right="-23"/>
        <w:jc w:val="center"/>
        <w:outlineLvl w:val="2"/>
        <w:rPr>
          <w:rFonts w:ascii="宋体" w:hAnsi="宋体" w:cs="宋体"/>
          <w:b/>
          <w:color w:val="auto"/>
          <w:highlight w:val="none"/>
        </w:rPr>
      </w:pPr>
      <w:r>
        <w:rPr>
          <w:rFonts w:hint="eastAsia" w:ascii="宋体" w:hAnsi="宋体" w:cs="宋体"/>
          <w:color w:val="auto"/>
          <w:szCs w:val="21"/>
          <w:highlight w:val="none"/>
        </w:rPr>
        <w:br w:type="page"/>
      </w:r>
      <w:bookmarkStart w:id="2314" w:name="_Toc396910330"/>
      <w:r>
        <w:rPr>
          <w:rFonts w:hint="eastAsia" w:ascii="宋体" w:hAnsi="宋体" w:cs="宋体"/>
          <w:b/>
          <w:color w:val="auto"/>
          <w:sz w:val="24"/>
          <w:highlight w:val="none"/>
        </w:rPr>
        <w:t>中选承诺书</w:t>
      </w:r>
      <w:bookmarkEnd w:id="2314"/>
    </w:p>
    <w:p>
      <w:pPr>
        <w:jc w:val="lef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（比选人）</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单位参加的比选申请，对贵单位发出的该工程竞争性比选文件及其相应的补遗资料、书面通知等全部内容，在认真阅读和充分理解后予以确认，完全同意其所有条款，并按其要求提交比选申请文件，保证按中选的“工程投标包干单价”和确认的“合同条款”及相关附件签定施工合同。我公司保证本工程中选后绝不转包给挂靠公司，一旦建设单位发现、查实我公司有转包挂靠行为，我公司甘愿承担违约责任或违约金，并对下列事宜作再次承诺：</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1、若我司中选，保证不会有转包、卖标或更换项目经理等行为。</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2、我司保证按时签定施工合同，提交履约保证金，并严格按《合同条款》规定履行合同条款，按合同规定收取费用。</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3、在中选后，保证在规定时间内完成以下开工前的准备工作：</w:t>
      </w:r>
    </w:p>
    <w:tbl>
      <w:tblPr>
        <w:tblStyle w:val="46"/>
        <w:tblW w:w="861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72"/>
        <w:gridCol w:w="409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4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工作内容</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报建材料</w:t>
            </w:r>
          </w:p>
        </w:tc>
        <w:tc>
          <w:tcPr>
            <w:tcW w:w="4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营业执照、资质证书和安全生产证书</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公示后7天内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40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项目经理、技术负责人、施工管理负责人、施工安全员、施工质检员的责任书</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40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现场管理人员岗位证书和资格证书</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40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安全文明技术方案和施工的应急预案</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应缴费用</w:t>
            </w:r>
          </w:p>
        </w:tc>
        <w:tc>
          <w:tcPr>
            <w:tcW w:w="40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综合管理费、工人工资保证金、工程意外伤亡保险费</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40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履约担保</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取得中选确认书十个工作日内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甲乙双方交接</w:t>
            </w:r>
          </w:p>
        </w:tc>
        <w:tc>
          <w:tcPr>
            <w:tcW w:w="40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平基现场交接和水电接口交接</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公示后5天内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40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施工图纸资料交接和施工放线坐标点交接</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47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施工管理</w:t>
            </w:r>
          </w:p>
        </w:tc>
        <w:tc>
          <w:tcPr>
            <w:tcW w:w="40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项目班子组织、管理人员入场时间、技术方案和前期材料计划</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公示后10天内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47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安全文明施工</w:t>
            </w:r>
          </w:p>
        </w:tc>
        <w:tc>
          <w:tcPr>
            <w:tcW w:w="40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安全文明施工标牌设置</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公示后25天内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47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施工设施完善</w:t>
            </w:r>
          </w:p>
        </w:tc>
        <w:tc>
          <w:tcPr>
            <w:tcW w:w="40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水电接通等</w:t>
            </w: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r>
    </w:tbl>
    <w:p>
      <w:pPr>
        <w:ind w:firstLine="420" w:firstLineChars="200"/>
        <w:jc w:val="left"/>
        <w:rPr>
          <w:rFonts w:ascii="宋体" w:hAnsi="宋体" w:cs="宋体"/>
          <w:color w:val="auto"/>
          <w:szCs w:val="21"/>
          <w:highlight w:val="none"/>
        </w:rPr>
      </w:pP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若我司未按此承诺执行，就视为我司放弃中选权利，自愿承担因放弃中选的一切后果，以及没有严格履行合同所应承担的所有违约责任和违约处罚。</w:t>
      </w:r>
    </w:p>
    <w:p>
      <w:pPr>
        <w:ind w:left="420"/>
        <w:jc w:val="left"/>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比选申请人：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（盖单位法人章）</w:t>
      </w:r>
    </w:p>
    <w:p>
      <w:pPr>
        <w:spacing w:line="360" w:lineRule="auto"/>
        <w:ind w:left="420"/>
        <w:jc w:val="left"/>
        <w:rPr>
          <w:rFonts w:ascii="宋体" w:hAnsi="宋体" w:cs="宋体"/>
          <w:color w:val="auto"/>
          <w:szCs w:val="21"/>
          <w:highlight w:val="none"/>
          <w:u w:val="single"/>
        </w:rPr>
      </w:pPr>
      <w:r>
        <w:rPr>
          <w:rFonts w:hint="eastAsia" w:ascii="宋体" w:hAnsi="宋体" w:cs="宋体"/>
          <w:color w:val="auto"/>
          <w:szCs w:val="21"/>
          <w:highlight w:val="none"/>
        </w:rPr>
        <w:t>法定代表人签名及印章：</w:t>
      </w:r>
      <w:r>
        <w:rPr>
          <w:rFonts w:hint="eastAsia" w:ascii="宋体" w:hAnsi="宋体" w:cs="宋体"/>
          <w:color w:val="auto"/>
          <w:szCs w:val="21"/>
          <w:highlight w:val="none"/>
          <w:u w:val="single"/>
        </w:rPr>
        <w:t xml:space="preserve">                   </w:t>
      </w:r>
    </w:p>
    <w:p>
      <w:pPr>
        <w:spacing w:line="360" w:lineRule="auto"/>
        <w:ind w:left="420"/>
        <w:jc w:val="left"/>
        <w:rPr>
          <w:rFonts w:ascii="宋体" w:hAnsi="宋体" w:cs="宋体"/>
          <w:color w:val="auto"/>
          <w:szCs w:val="21"/>
          <w:highlight w:val="none"/>
        </w:rPr>
      </w:pPr>
      <w:r>
        <w:rPr>
          <w:rFonts w:hint="eastAsia" w:ascii="宋体" w:hAnsi="宋体" w:cs="宋体"/>
          <w:color w:val="auto"/>
          <w:szCs w:val="21"/>
          <w:highlight w:val="none"/>
        </w:rPr>
        <w:t>项目经理签名：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utoSpaceDE w:val="0"/>
        <w:autoSpaceDN w:val="0"/>
        <w:snapToGrid w:val="0"/>
        <w:spacing w:before="64" w:line="360" w:lineRule="auto"/>
        <w:ind w:right="-110"/>
        <w:jc w:val="left"/>
        <w:rPr>
          <w:rFonts w:ascii="宋体" w:hAnsi="宋体" w:cs="宋体"/>
          <w:b/>
          <w:color w:val="auto"/>
          <w:szCs w:val="21"/>
          <w:highlight w:val="none"/>
          <w:u w:val="single"/>
        </w:rPr>
      </w:pPr>
      <w:r>
        <w:rPr>
          <w:rFonts w:hint="eastAsia" w:ascii="宋体" w:hAnsi="宋体" w:cs="宋体"/>
          <w:color w:val="auto"/>
          <w:szCs w:val="21"/>
          <w:highlight w:val="none"/>
        </w:rPr>
        <w:t xml:space="preserve">    日期：</w:t>
      </w:r>
      <w:r>
        <w:rPr>
          <w:rFonts w:hint="eastAsia" w:ascii="宋体" w:hAnsi="宋体" w:cs="宋体"/>
          <w:color w:val="auto"/>
          <w:szCs w:val="21"/>
          <w:highlight w:val="none"/>
          <w:u w:val="single"/>
        </w:rPr>
        <w:t xml:space="preserve">                                   </w:t>
      </w:r>
    </w:p>
    <w:p>
      <w:pPr>
        <w:autoSpaceDE w:val="0"/>
        <w:autoSpaceDN w:val="0"/>
        <w:snapToGrid w:val="0"/>
        <w:spacing w:before="64" w:line="360" w:lineRule="auto"/>
        <w:ind w:right="-110"/>
        <w:rPr>
          <w:rFonts w:ascii="宋体" w:hAnsi="宋体" w:cs="宋体"/>
          <w:b/>
          <w:color w:val="auto"/>
          <w:szCs w:val="21"/>
          <w:highlight w:val="none"/>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pPr>
        <w:autoSpaceDE w:val="0"/>
        <w:autoSpaceDN w:val="0"/>
        <w:spacing w:line="360" w:lineRule="auto"/>
        <w:ind w:right="-23"/>
        <w:jc w:val="center"/>
        <w:outlineLvl w:val="2"/>
        <w:rPr>
          <w:rFonts w:ascii="宋体" w:hAnsi="宋体" w:cs="宋体"/>
          <w:b/>
          <w:bCs/>
          <w:color w:val="auto"/>
          <w:sz w:val="24"/>
          <w:highlight w:val="none"/>
        </w:rPr>
      </w:pPr>
      <w:r>
        <w:rPr>
          <w:rFonts w:hint="eastAsia" w:ascii="宋体" w:hAnsi="宋体" w:cs="宋体"/>
          <w:b/>
          <w:bCs/>
          <w:color w:val="auto"/>
          <w:sz w:val="24"/>
          <w:highlight w:val="none"/>
        </w:rPr>
        <w:t>投标截止日投标资格情况承诺书</w:t>
      </w:r>
    </w:p>
    <w:p>
      <w:pPr>
        <w:snapToGrid w:val="0"/>
        <w:spacing w:line="380" w:lineRule="exact"/>
        <w:rPr>
          <w:rFonts w:ascii="宋体" w:hAnsi="宋体"/>
          <w:color w:val="auto"/>
          <w:szCs w:val="21"/>
          <w:highlight w:val="none"/>
          <w:u w:val="single"/>
        </w:rPr>
      </w:pPr>
    </w:p>
    <w:p>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（比选申请人名称）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的竞选，自愿作出不得存在以下情况的承诺：</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（2）被列入《重庆市工程建设领域比选投标信用管理暂行办法》规定的重点关注名单且记分达到12分且在记分有效期内；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（3）被列入《重庆市工程建设领域比选投标信用管理暂行办法》规定的重庆市工程建设领域比选投标失信惩戒对象名单（以下称黑名单）且在记分有效期内；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rPr>
        <w:t>市级有关行业</w:t>
      </w:r>
      <w:r>
        <w:rPr>
          <w:rFonts w:hint="eastAsia" w:ascii="宋体" w:hAnsi="宋体"/>
          <w:color w:val="auto"/>
          <w:szCs w:val="21"/>
          <w:highlight w:val="none"/>
        </w:rPr>
        <w:t>主管部门暂停在渝承揽新业务且在暂停期内。</w:t>
      </w:r>
    </w:p>
    <w:p>
      <w:pPr>
        <w:rPr>
          <w:color w:val="auto"/>
          <w:highlight w:val="none"/>
        </w:rPr>
      </w:pPr>
    </w:p>
    <w:p>
      <w:pPr>
        <w:pStyle w:val="45"/>
        <w:ind w:firstLine="210"/>
        <w:rPr>
          <w:color w:val="auto"/>
          <w:highlight w:val="none"/>
        </w:rPr>
      </w:pPr>
    </w:p>
    <w:p>
      <w:pPr>
        <w:rPr>
          <w:color w:val="auto"/>
          <w:highlight w:val="none"/>
        </w:rPr>
      </w:pPr>
    </w:p>
    <w:p>
      <w:pPr>
        <w:pStyle w:val="45"/>
        <w:ind w:firstLine="210"/>
        <w:rPr>
          <w:color w:val="auto"/>
          <w:highlight w:val="none"/>
        </w:rPr>
      </w:pPr>
    </w:p>
    <w:p>
      <w:pPr>
        <w:rPr>
          <w:color w:val="auto"/>
          <w:highlight w:val="none"/>
        </w:rPr>
      </w:pPr>
    </w:p>
    <w:p>
      <w:pPr>
        <w:pStyle w:val="45"/>
        <w:ind w:firstLine="210"/>
        <w:rPr>
          <w:color w:val="auto"/>
          <w:highlight w:val="none"/>
        </w:rPr>
      </w:pPr>
    </w:p>
    <w:p>
      <w:pPr>
        <w:rPr>
          <w:color w:val="auto"/>
          <w:highlight w:val="none"/>
        </w:rPr>
      </w:pPr>
    </w:p>
    <w:p>
      <w:pPr>
        <w:pStyle w:val="45"/>
        <w:ind w:firstLine="210"/>
        <w:rPr>
          <w:color w:val="auto"/>
          <w:highlight w:val="none"/>
        </w:rPr>
      </w:pPr>
    </w:p>
    <w:p>
      <w:pPr>
        <w:rPr>
          <w:color w:val="auto"/>
          <w:highlight w:val="none"/>
        </w:rPr>
      </w:pPr>
    </w:p>
    <w:p>
      <w:pPr>
        <w:pStyle w:val="45"/>
        <w:ind w:firstLine="210"/>
        <w:rPr>
          <w:color w:val="auto"/>
          <w:highlight w:val="none"/>
        </w:rPr>
      </w:pPr>
    </w:p>
    <w:p>
      <w:pPr>
        <w:rPr>
          <w:color w:val="auto"/>
          <w:highlight w:val="none"/>
        </w:rPr>
      </w:pPr>
    </w:p>
    <w:p>
      <w:pPr>
        <w:pStyle w:val="45"/>
        <w:ind w:firstLine="210"/>
        <w:rPr>
          <w:color w:val="auto"/>
          <w:highlight w:val="none"/>
        </w:rPr>
      </w:pPr>
    </w:p>
    <w:p>
      <w:pPr>
        <w:rPr>
          <w:color w:val="auto"/>
          <w:highlight w:val="none"/>
        </w:rPr>
      </w:pPr>
    </w:p>
    <w:p>
      <w:pPr>
        <w:pStyle w:val="45"/>
        <w:ind w:firstLine="210"/>
        <w:rPr>
          <w:color w:val="auto"/>
          <w:highlight w:val="none"/>
        </w:rPr>
      </w:pPr>
    </w:p>
    <w:p>
      <w:pPr>
        <w:rPr>
          <w:color w:val="auto"/>
          <w:highlight w:val="none"/>
        </w:rPr>
      </w:pPr>
    </w:p>
    <w:p>
      <w:pPr>
        <w:pStyle w:val="45"/>
        <w:ind w:firstLine="210"/>
        <w:rPr>
          <w:color w:val="auto"/>
          <w:highlight w:val="none"/>
        </w:rPr>
      </w:pPr>
    </w:p>
    <w:p>
      <w:pPr>
        <w:rPr>
          <w:color w:val="auto"/>
          <w:highlight w:val="none"/>
        </w:rPr>
      </w:pPr>
    </w:p>
    <w:p>
      <w:pPr>
        <w:pStyle w:val="45"/>
        <w:ind w:firstLine="210"/>
        <w:rPr>
          <w:color w:val="auto"/>
          <w:highlight w:val="none"/>
        </w:rPr>
      </w:pPr>
    </w:p>
    <w:p>
      <w:pPr>
        <w:rPr>
          <w:color w:val="auto"/>
          <w:highlight w:val="none"/>
        </w:rPr>
      </w:pPr>
    </w:p>
    <w:p>
      <w:pPr>
        <w:pStyle w:val="45"/>
        <w:ind w:firstLine="210"/>
        <w:rPr>
          <w:color w:val="auto"/>
          <w:highlight w:val="none"/>
        </w:rPr>
      </w:pPr>
    </w:p>
    <w:p>
      <w:pPr>
        <w:rPr>
          <w:color w:val="auto"/>
          <w:highlight w:val="none"/>
        </w:rPr>
      </w:pPr>
    </w:p>
    <w:p>
      <w:pPr>
        <w:pStyle w:val="45"/>
        <w:ind w:firstLine="210"/>
        <w:rPr>
          <w:color w:val="auto"/>
          <w:highlight w:val="none"/>
        </w:rPr>
      </w:pPr>
    </w:p>
    <w:p>
      <w:pPr>
        <w:rPr>
          <w:color w:val="auto"/>
          <w:highlight w:val="none"/>
        </w:rPr>
      </w:pPr>
    </w:p>
    <w:p>
      <w:pPr>
        <w:pStyle w:val="45"/>
        <w:ind w:firstLine="210"/>
        <w:rPr>
          <w:color w:val="auto"/>
          <w:highlight w:val="none"/>
        </w:rPr>
      </w:pPr>
    </w:p>
    <w:p>
      <w:pPr>
        <w:jc w:val="center"/>
        <w:rPr>
          <w:color w:val="auto"/>
          <w:sz w:val="36"/>
          <w:szCs w:val="36"/>
          <w:highlight w:val="none"/>
        </w:rPr>
      </w:pPr>
      <w:r>
        <w:rPr>
          <w:rFonts w:hint="eastAsia"/>
          <w:color w:val="auto"/>
          <w:sz w:val="36"/>
          <w:szCs w:val="36"/>
          <w:highlight w:val="none"/>
        </w:rPr>
        <w:t>（五）其他资料</w:t>
      </w:r>
    </w:p>
    <w:bookmarkEnd w:id="2312"/>
    <w:bookmarkEnd w:id="2313"/>
    <w:p>
      <w:pPr>
        <w:autoSpaceDE w:val="0"/>
        <w:autoSpaceDN w:val="0"/>
        <w:snapToGrid w:val="0"/>
        <w:spacing w:line="360" w:lineRule="auto"/>
        <w:ind w:firstLine="480" w:firstLineChars="200"/>
        <w:rPr>
          <w:rFonts w:hint="eastAsia" w:ascii="宋体" w:hAnsi="宋体" w:eastAsia="宋体" w:cs="宋体"/>
          <w:color w:val="auto"/>
          <w:sz w:val="24"/>
          <w:szCs w:val="24"/>
          <w:highlight w:val="none"/>
        </w:rPr>
      </w:pPr>
      <w:bookmarkStart w:id="2315" w:name="_Toc5285"/>
      <w:r>
        <w:rPr>
          <w:rFonts w:hint="eastAsia" w:ascii="宋体" w:hAnsi="宋体" w:eastAsia="宋体" w:cs="宋体"/>
          <w:color w:val="auto"/>
          <w:sz w:val="24"/>
          <w:szCs w:val="24"/>
          <w:highlight w:val="none"/>
        </w:rPr>
        <w:t>1. 投标保证金</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[提示：以转账支票或电汇形式交纳投标保证金的提供以下资料]</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（1）企业基本账户开户证明文件。</w:t>
      </w:r>
    </w:p>
    <w:p>
      <w:pPr>
        <w:spacing w:line="240" w:lineRule="auto"/>
        <w:ind w:firstLine="0" w:firstLineChars="0"/>
        <w:rPr>
          <w:rFonts w:hint="eastAsia" w:ascii="宋体" w:hAnsi="宋体"/>
          <w:i/>
          <w:color w:val="auto"/>
          <w:szCs w:val="21"/>
          <w:highlight w:val="none"/>
        </w:rPr>
      </w:pPr>
      <w:r>
        <w:rPr>
          <w:rFonts w:hint="eastAsia" w:ascii="宋体" w:hAnsi="宋体"/>
          <w:i/>
          <w:color w:val="auto"/>
          <w:szCs w:val="21"/>
          <w:highlight w:val="none"/>
        </w:rPr>
        <w:br w:type="page"/>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[提示：以纸质投标保函形式交纳投标保证金的提供以下资料]</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（1）纸质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（受益人名称）</w:t>
      </w:r>
      <w:r>
        <w:rPr>
          <w:rFonts w:hint="eastAsia" w:asciiTheme="minorEastAsia" w:hAnsiTheme="minorEastAsia" w:eastAsiaTheme="minorEastAsia" w:cstheme="minorEastAsia"/>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kern w:val="0"/>
          <w:sz w:val="21"/>
          <w:szCs w:val="21"/>
          <w:highlight w:val="none"/>
          <w:lang w:val="en-US" w:eastAsia="zh-CN" w:bidi="ar-SA"/>
        </w:rPr>
        <w:t>我方（即“开立人”）已获得通知，本保函申请人（即“投标人”）已响应贵方于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w:t>
      </w:r>
      <w:r>
        <w:rPr>
          <w:rFonts w:hint="eastAsia" w:asciiTheme="minorEastAsia" w:hAnsiTheme="minorEastAsia" w:eastAsiaTheme="minorEastAsia" w:cstheme="minorEastAsia"/>
          <w:color w:val="auto"/>
          <w:spacing w:val="-6"/>
          <w:kern w:val="0"/>
          <w:sz w:val="21"/>
          <w:szCs w:val="21"/>
          <w:highlight w:val="none"/>
          <w:lang w:val="en-US" w:eastAsia="zh-CN" w:bidi="ar-SA"/>
        </w:rPr>
        <w:t>就</w:t>
      </w:r>
      <w:r>
        <w:rPr>
          <w:rFonts w:hint="eastAsia" w:asciiTheme="minorEastAsia" w:hAnsiTheme="minorEastAsia" w:eastAsiaTheme="minorEastAsia" w:cstheme="minorEastAsia"/>
          <w:color w:val="auto"/>
          <w:spacing w:val="-6"/>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0"/>
          <w:sz w:val="21"/>
          <w:szCs w:val="21"/>
          <w:highlight w:val="none"/>
          <w:lang w:val="en-US" w:eastAsia="zh-CN" w:bidi="ar-SA"/>
        </w:rPr>
        <w:t>元（¥</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三、本保函为不可撤销、不可转让的见索即付保函。本保函有效期自开立之日起至投标有效期届满之日后的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日</w:t>
      </w:r>
      <w:r>
        <w:rPr>
          <w:rFonts w:hint="eastAsia" w:asciiTheme="minorEastAsia" w:hAnsiTheme="minorEastAsia" w:eastAsiaTheme="minorEastAsia" w:cstheme="minorEastAsia"/>
          <w:color w:val="auto"/>
          <w:kern w:val="2"/>
          <w:sz w:val="21"/>
          <w:szCs w:val="21"/>
          <w:highlight w:val="none"/>
          <w:lang w:eastAsia="zh-CN"/>
        </w:rPr>
        <w:t>止（提示：建议</w:t>
      </w:r>
      <w:r>
        <w:rPr>
          <w:rFonts w:hint="eastAsia" w:asciiTheme="minorEastAsia" w:hAnsiTheme="minorEastAsia" w:eastAsiaTheme="minorEastAsia" w:cstheme="minorEastAsia"/>
          <w:color w:val="auto"/>
          <w:kern w:val="2"/>
          <w:sz w:val="21"/>
          <w:szCs w:val="21"/>
          <w:highlight w:val="none"/>
          <w:lang w:val="en-US" w:eastAsia="zh-CN"/>
        </w:rPr>
        <w:t>30日</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。投标有效期延长的，本保函有效期相应顺延，最迟不超过</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w:t>
      </w:r>
      <w:r>
        <w:rPr>
          <w:rFonts w:hint="eastAsia" w:asciiTheme="minorEastAsia" w:hAnsiTheme="minorEastAsia" w:eastAsiaTheme="minorEastAsia" w:cstheme="minorEastAsia"/>
          <w:color w:val="auto"/>
          <w:kern w:val="2"/>
          <w:sz w:val="21"/>
          <w:szCs w:val="21"/>
          <w:highlight w:val="none"/>
          <w:lang w:eastAsia="zh-CN"/>
        </w:rPr>
        <w:t>（提示：建议按保函有效期不超过</w:t>
      </w:r>
      <w:r>
        <w:rPr>
          <w:rFonts w:hint="eastAsia" w:asciiTheme="minorEastAsia" w:hAnsiTheme="minorEastAsia" w:eastAsiaTheme="minorEastAsia" w:cstheme="minorEastAsia"/>
          <w:color w:val="auto"/>
          <w:kern w:val="2"/>
          <w:sz w:val="21"/>
          <w:szCs w:val="21"/>
          <w:highlight w:val="none"/>
          <w:lang w:val="en-US" w:eastAsia="zh-CN"/>
        </w:rPr>
        <w:t>270日考虑</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四、</w:t>
      </w:r>
      <w:r>
        <w:rPr>
          <w:rFonts w:hint="eastAsia" w:asciiTheme="minorEastAsia" w:hAnsiTheme="minorEastAsia" w:eastAsiaTheme="minorEastAsia" w:cstheme="minorEastAsia"/>
          <w:color w:val="auto"/>
          <w:kern w:val="2"/>
          <w:sz w:val="21"/>
          <w:szCs w:val="21"/>
          <w:highlight w:val="none"/>
        </w:rPr>
        <w:t>我方承诺，在收到受益人发来的书面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个工作</w:t>
      </w:r>
      <w:r>
        <w:rPr>
          <w:rFonts w:hint="eastAsia" w:asciiTheme="minorEastAsia" w:hAnsiTheme="minorEastAsia" w:eastAsiaTheme="minorEastAsia" w:cstheme="minorEastAsia"/>
          <w:color w:val="auto"/>
          <w:kern w:val="2"/>
          <w:sz w:val="21"/>
          <w:szCs w:val="21"/>
          <w:highlight w:val="none"/>
        </w:rPr>
        <w:t>日</w:t>
      </w:r>
      <w:r>
        <w:rPr>
          <w:rFonts w:hint="eastAsia" w:asciiTheme="minorEastAsia" w:hAnsiTheme="minorEastAsia" w:eastAsiaTheme="minorEastAsia" w:cstheme="minorEastAsia"/>
          <w:color w:val="auto"/>
          <w:kern w:val="2"/>
          <w:sz w:val="21"/>
          <w:szCs w:val="21"/>
          <w:highlight w:val="none"/>
          <w:lang w:eastAsia="zh-CN"/>
        </w:rPr>
        <w:t>（提示：建议</w:t>
      </w:r>
      <w:r>
        <w:rPr>
          <w:rFonts w:hint="eastAsia" w:asciiTheme="minorEastAsia" w:hAnsiTheme="minorEastAsia" w:eastAsiaTheme="minorEastAsia" w:cstheme="minorEastAsia"/>
          <w:color w:val="auto"/>
          <w:kern w:val="2"/>
          <w:sz w:val="21"/>
          <w:szCs w:val="21"/>
          <w:highlight w:val="none"/>
          <w:lang w:val="en-US" w:eastAsia="zh-CN"/>
        </w:rPr>
        <w:t>10—15个工作日</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内无条件支付，前述书面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lang w:eastAsia="zh-CN"/>
        </w:rPr>
        <w:t>（</w:t>
      </w:r>
      <w:r>
        <w:rPr>
          <w:rFonts w:hint="eastAsia" w:asciiTheme="minorEastAsia" w:hAnsiTheme="minorEastAsia" w:eastAsiaTheme="minorEastAsia" w:cstheme="minorEastAsia"/>
          <w:color w:val="auto"/>
          <w:spacing w:val="0"/>
          <w:kern w:val="2"/>
          <w:sz w:val="21"/>
          <w:szCs w:val="21"/>
          <w:highlight w:val="none"/>
          <w:lang w:val="en-US" w:eastAsia="zh-CN"/>
        </w:rPr>
        <w:t>5</w:t>
      </w:r>
      <w:r>
        <w:rPr>
          <w:rFonts w:hint="eastAsia" w:asciiTheme="minorEastAsia" w:hAnsiTheme="minorEastAsia" w:eastAsiaTheme="minorEastAsia" w:cstheme="minorEastAsia"/>
          <w:color w:val="auto"/>
          <w:spacing w:val="0"/>
          <w:kern w:val="2"/>
          <w:sz w:val="21"/>
          <w:szCs w:val="21"/>
          <w:highlight w:val="none"/>
          <w:lang w:eastAsia="zh-CN"/>
        </w:rPr>
        <w:t>）索赔</w:t>
      </w:r>
      <w:r>
        <w:rPr>
          <w:rFonts w:hint="eastAsia" w:asciiTheme="minorEastAsia" w:hAnsiTheme="minorEastAsia" w:eastAsiaTheme="minorEastAsia" w:cstheme="minorEastAsia"/>
          <w:color w:val="auto"/>
          <w:spacing w:val="0"/>
          <w:kern w:val="2"/>
          <w:sz w:val="21"/>
          <w:szCs w:val="21"/>
          <w:highlight w:val="none"/>
        </w:rPr>
        <w:t>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受益人发出的书面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通知应由其为鉴明受益人法定代表人或授权代理人签</w:t>
      </w:r>
      <w:r>
        <w:rPr>
          <w:rFonts w:hint="eastAsia" w:asciiTheme="minorEastAsia" w:hAnsiTheme="minorEastAsia" w:eastAsiaTheme="minorEastAsia" w:cstheme="minorEastAsia"/>
          <w:color w:val="auto"/>
          <w:kern w:val="2"/>
          <w:sz w:val="21"/>
          <w:szCs w:val="21"/>
          <w:highlight w:val="none"/>
          <w:lang w:eastAsia="zh-CN"/>
        </w:rPr>
        <w:t>名</w:t>
      </w:r>
      <w:r>
        <w:rPr>
          <w:rFonts w:hint="eastAsia" w:asciiTheme="minorEastAsia" w:hAnsiTheme="minorEastAsia" w:eastAsiaTheme="minorEastAsia" w:cstheme="minorEastAsia"/>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w:t>
      </w:r>
      <w:r>
        <w:rPr>
          <w:rFonts w:hint="eastAsia" w:asciiTheme="minorEastAsia" w:hAnsiTheme="minorEastAsia" w:eastAsiaTheme="minorEastAsia" w:cstheme="minorEastAsia"/>
          <w:color w:val="auto"/>
          <w:kern w:val="2"/>
          <w:sz w:val="21"/>
          <w:szCs w:val="21"/>
          <w:highlight w:val="none"/>
          <w:lang w:eastAsia="zh-CN"/>
        </w:rPr>
        <w:t>贵方</w:t>
      </w:r>
      <w:r>
        <w:rPr>
          <w:rFonts w:hint="eastAsia" w:asciiTheme="minorEastAsia" w:hAnsiTheme="minorEastAsia" w:eastAsiaTheme="minorEastAsia" w:cstheme="minorEastAsia"/>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七、受益人应在本保函到期后的</w:t>
      </w:r>
      <w:r>
        <w:rPr>
          <w:rFonts w:hint="eastAsia" w:asciiTheme="minorEastAsia" w:hAnsiTheme="minorEastAsia" w:eastAsiaTheme="minorEastAsia" w:cstheme="minorEastAsia"/>
          <w:color w:val="auto"/>
          <w:kern w:val="2"/>
          <w:sz w:val="21"/>
          <w:szCs w:val="21"/>
          <w:highlight w:val="none"/>
          <w:lang w:val="en-US" w:eastAsia="zh-CN"/>
        </w:rPr>
        <w:t>七</w:t>
      </w:r>
      <w:r>
        <w:rPr>
          <w:rFonts w:hint="eastAsia" w:asciiTheme="minorEastAsia" w:hAnsiTheme="minorEastAsia" w:eastAsiaTheme="minorEastAsia" w:cstheme="minorEastAsia"/>
          <w:color w:val="auto"/>
          <w:kern w:val="2"/>
          <w:sz w:val="21"/>
          <w:szCs w:val="21"/>
          <w:highlight w:val="none"/>
          <w:lang w:eastAsia="zh-CN"/>
        </w:rPr>
        <w:t>个工作</w:t>
      </w:r>
      <w:r>
        <w:rPr>
          <w:rFonts w:hint="eastAsia" w:asciiTheme="minorEastAsia" w:hAnsiTheme="minorEastAsia" w:eastAsiaTheme="minorEastAsia" w:cstheme="minorEastAsia"/>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八、</w:t>
      </w:r>
      <w:r>
        <w:rPr>
          <w:rFonts w:hint="eastAsia" w:asciiTheme="minorEastAsia" w:hAnsiTheme="minorEastAsia" w:eastAsiaTheme="minorEastAsia" w:cstheme="minorEastAsia"/>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九、</w:t>
      </w:r>
      <w:r>
        <w:rPr>
          <w:rFonts w:hint="eastAsia" w:asciiTheme="minorEastAsia" w:hAnsiTheme="minorEastAsia" w:eastAsiaTheme="minorEastAsia" w:cstheme="minorEastAsia"/>
          <w:color w:val="auto"/>
          <w:kern w:val="2"/>
          <w:sz w:val="21"/>
          <w:szCs w:val="21"/>
          <w:highlight w:val="none"/>
        </w:rPr>
        <w:t>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十</w:t>
      </w:r>
      <w:r>
        <w:rPr>
          <w:rFonts w:hint="eastAsia" w:asciiTheme="minorEastAsia" w:hAnsiTheme="minorEastAsia" w:eastAsiaTheme="minorEastAsia" w:cstheme="minorEastAsia"/>
          <w:color w:val="auto"/>
          <w:kern w:val="2"/>
          <w:sz w:val="21"/>
          <w:szCs w:val="21"/>
          <w:highlight w:val="none"/>
        </w:rPr>
        <w:t>、本保函自我方法定代表人或授权代表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eastAsia="zh-CN"/>
        </w:rPr>
        <w:t>十一、本保函在重庆市辖区范围内的核验地点：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w:t>
      </w:r>
      <w:r>
        <w:rPr>
          <w:rFonts w:hint="eastAsia" w:asciiTheme="minorEastAsia" w:hAnsiTheme="minorEastAsia" w:eastAsiaTheme="minorEastAsia" w:cstheme="minorEastAsia"/>
          <w:color w:val="auto"/>
          <w:kern w:val="2"/>
          <w:sz w:val="21"/>
          <w:szCs w:val="21"/>
          <w:highlight w:val="none"/>
          <w:lang w:eastAsia="zh-CN"/>
        </w:rPr>
        <w:t>代表</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    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pPr>
        <w:pStyle w:val="2"/>
        <w:ind w:firstLine="420" w:firstLineChars="200"/>
        <w:rPr>
          <w:rFonts w:hint="eastAsia"/>
          <w:color w:val="auto"/>
          <w:highlight w:val="none"/>
          <w:lang w:eastAsia="zh-CN"/>
        </w:rPr>
      </w:pPr>
      <w:r>
        <w:rPr>
          <w:rFonts w:hint="eastAsia" w:asciiTheme="minorEastAsia" w:hAnsiTheme="minorEastAsia" w:eastAsiaTheme="minorEastAsia" w:cstheme="minorEastAsia"/>
          <w:color w:val="auto"/>
          <w:kern w:val="2"/>
          <w:sz w:val="21"/>
          <w:szCs w:val="21"/>
          <w:highlight w:val="none"/>
        </w:rPr>
        <w:t xml:space="preserve">开立时间：    年 </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月 </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eastAsia="zh-CN"/>
        </w:rPr>
        <w:t>日</w:t>
      </w:r>
    </w:p>
    <w:p>
      <w:pPr>
        <w:spacing w:line="240" w:lineRule="auto"/>
        <w:ind w:firstLine="0" w:firstLineChars="0"/>
        <w:rPr>
          <w:rFonts w:ascii="宋体" w:hAnsi="宋体"/>
          <w:color w:val="auto"/>
          <w:highlight w:val="none"/>
        </w:rPr>
      </w:pPr>
      <w:r>
        <w:rPr>
          <w:rFonts w:hint="eastAsia" w:ascii="宋体" w:hAnsi="宋体"/>
          <w:color w:val="auto"/>
          <w:szCs w:val="21"/>
          <w:highlight w:val="none"/>
        </w:rPr>
        <w:br w:type="page"/>
      </w:r>
    </w:p>
    <w:p>
      <w:pPr>
        <w:rPr>
          <w:rFonts w:ascii="宋体" w:hAnsi="宋体"/>
          <w:color w:val="auto"/>
          <w:highlight w:val="none"/>
        </w:rPr>
      </w:pPr>
    </w:p>
    <w:p>
      <w:pPr>
        <w:autoSpaceDE w:val="0"/>
        <w:autoSpaceDN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45"/>
        <w:ind w:firstLine="210"/>
        <w:rPr>
          <w:rFonts w:ascii="宋体" w:hAnsi="宋体"/>
          <w:color w:val="auto"/>
          <w:highlight w:val="none"/>
        </w:rPr>
      </w:pPr>
    </w:p>
    <w:p>
      <w:pPr>
        <w:rPr>
          <w:rFonts w:ascii="宋体" w:hAnsi="宋体"/>
          <w:color w:val="auto"/>
          <w:highlight w:val="none"/>
        </w:rPr>
      </w:pPr>
    </w:p>
    <w:p>
      <w:pPr>
        <w:pStyle w:val="45"/>
        <w:ind w:firstLine="210"/>
        <w:rPr>
          <w:rFonts w:ascii="宋体" w:hAnsi="宋体"/>
          <w:color w:val="auto"/>
          <w:highlight w:val="none"/>
        </w:rPr>
      </w:pPr>
    </w:p>
    <w:p>
      <w:pPr>
        <w:rPr>
          <w:rFonts w:ascii="宋体" w:hAnsi="宋体"/>
          <w:color w:val="auto"/>
          <w:highlight w:val="none"/>
        </w:rPr>
      </w:pPr>
    </w:p>
    <w:p>
      <w:pPr>
        <w:pStyle w:val="45"/>
        <w:ind w:firstLine="210"/>
        <w:rPr>
          <w:rFonts w:ascii="宋体" w:hAnsi="宋体"/>
          <w:color w:val="auto"/>
          <w:highlight w:val="none"/>
        </w:rPr>
      </w:pPr>
    </w:p>
    <w:p>
      <w:pPr>
        <w:rPr>
          <w:rFonts w:ascii="宋体" w:hAnsi="宋体"/>
          <w:color w:val="auto"/>
          <w:highlight w:val="none"/>
        </w:rPr>
      </w:pPr>
    </w:p>
    <w:p>
      <w:pPr>
        <w:pStyle w:val="45"/>
        <w:ind w:firstLine="0" w:firstLineChars="0"/>
        <w:rPr>
          <w:color w:val="auto"/>
          <w:highlight w:val="none"/>
        </w:rPr>
      </w:pPr>
    </w:p>
    <w:p>
      <w:pPr>
        <w:pStyle w:val="2"/>
        <w:rPr>
          <w:rFonts w:ascii="宋体" w:hAnsi="宋体"/>
          <w:color w:val="auto"/>
          <w:highlight w:val="none"/>
        </w:rPr>
      </w:pPr>
    </w:p>
    <w:p>
      <w:pPr>
        <w:pStyle w:val="5"/>
        <w:spacing w:before="0" w:line="360" w:lineRule="auto"/>
        <w:jc w:val="center"/>
        <w:rPr>
          <w:rFonts w:ascii="宋体" w:hAnsi="宋体"/>
          <w:b w:val="0"/>
          <w:color w:val="auto"/>
          <w:highlight w:val="none"/>
        </w:rPr>
      </w:pPr>
    </w:p>
    <w:p>
      <w:pPr>
        <w:rPr>
          <w:color w:val="auto"/>
          <w:highlight w:val="none"/>
        </w:rPr>
      </w:pPr>
    </w:p>
    <w:bookmarkEnd w:id="597"/>
    <w:bookmarkEnd w:id="598"/>
    <w:bookmarkEnd w:id="599"/>
    <w:bookmarkEnd w:id="2315"/>
    <w:p>
      <w:pPr>
        <w:rPr>
          <w:rFonts w:ascii="宋体" w:hAnsi="宋体"/>
          <w:b/>
          <w:color w:val="auto"/>
          <w:highlight w:val="none"/>
        </w:rPr>
      </w:pP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Microsoft Sans Serif">
    <w:panose1 w:val="020B0604020202020204"/>
    <w:charset w:val="00"/>
    <w:family w:val="swiss"/>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- 1 -</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4"/>
        <w:ind w:firstLine="360" w:firstLineChars="200"/>
        <w:rPr>
          <w:rFonts w:ascii="Times New Roman" w:hAnsi="Times New Roman" w:cs="Times New Roman"/>
          <w:lang w:eastAsia="zh-CN"/>
        </w:rPr>
      </w:pPr>
      <w:r>
        <w:rPr>
          <w:rStyle w:val="62"/>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61027DAC"/>
    <w:multiLevelType w:val="singleLevel"/>
    <w:tmpl w:val="61027DAC"/>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mirrorMargin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YzFmODU2OTM5MzJkODM3MjU5ZGMzMjk5YTQwM2E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1B8"/>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6B02"/>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1F5B"/>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24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2DB"/>
    <w:rsid w:val="001303A1"/>
    <w:rsid w:val="00131C48"/>
    <w:rsid w:val="00131D1B"/>
    <w:rsid w:val="001330BB"/>
    <w:rsid w:val="00134327"/>
    <w:rsid w:val="0013458C"/>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2A"/>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5FEC"/>
    <w:rsid w:val="002166F9"/>
    <w:rsid w:val="002168E9"/>
    <w:rsid w:val="0021733C"/>
    <w:rsid w:val="00217891"/>
    <w:rsid w:val="002207FA"/>
    <w:rsid w:val="00221627"/>
    <w:rsid w:val="00221E51"/>
    <w:rsid w:val="00221F8E"/>
    <w:rsid w:val="00221FE1"/>
    <w:rsid w:val="0022205D"/>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44FF"/>
    <w:rsid w:val="002555DD"/>
    <w:rsid w:val="002555E1"/>
    <w:rsid w:val="00255C94"/>
    <w:rsid w:val="00257031"/>
    <w:rsid w:val="00257EFE"/>
    <w:rsid w:val="002603C8"/>
    <w:rsid w:val="00260CCE"/>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2F79AD"/>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5B7D"/>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72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B08"/>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482"/>
    <w:rsid w:val="0044183D"/>
    <w:rsid w:val="004422F3"/>
    <w:rsid w:val="004423C2"/>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1FE0"/>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6842"/>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9FD"/>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459"/>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6FDD"/>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646"/>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1A85"/>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264"/>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306"/>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4C8"/>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97"/>
    <w:rsid w:val="00836AC6"/>
    <w:rsid w:val="00836DE1"/>
    <w:rsid w:val="00841AE4"/>
    <w:rsid w:val="008424BD"/>
    <w:rsid w:val="00842F85"/>
    <w:rsid w:val="008431C6"/>
    <w:rsid w:val="008441B1"/>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41F"/>
    <w:rsid w:val="00895B32"/>
    <w:rsid w:val="00896169"/>
    <w:rsid w:val="008963F6"/>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B3E"/>
    <w:rsid w:val="008B4D7C"/>
    <w:rsid w:val="008B5D25"/>
    <w:rsid w:val="008B6D7A"/>
    <w:rsid w:val="008C0197"/>
    <w:rsid w:val="008C07D0"/>
    <w:rsid w:val="008C0BCA"/>
    <w:rsid w:val="008C1FAE"/>
    <w:rsid w:val="008C2336"/>
    <w:rsid w:val="008C655D"/>
    <w:rsid w:val="008C69AD"/>
    <w:rsid w:val="008C69BC"/>
    <w:rsid w:val="008C741E"/>
    <w:rsid w:val="008C7AD6"/>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800"/>
    <w:rsid w:val="008F7C2F"/>
    <w:rsid w:val="00900130"/>
    <w:rsid w:val="00900C09"/>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18DD"/>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787"/>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682"/>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5631"/>
    <w:rsid w:val="00A163EA"/>
    <w:rsid w:val="00A1667D"/>
    <w:rsid w:val="00A174BA"/>
    <w:rsid w:val="00A175AB"/>
    <w:rsid w:val="00A17AD1"/>
    <w:rsid w:val="00A202E6"/>
    <w:rsid w:val="00A2039D"/>
    <w:rsid w:val="00A20539"/>
    <w:rsid w:val="00A20D8F"/>
    <w:rsid w:val="00A2144C"/>
    <w:rsid w:val="00A2227D"/>
    <w:rsid w:val="00A2279E"/>
    <w:rsid w:val="00A23769"/>
    <w:rsid w:val="00A24EAE"/>
    <w:rsid w:val="00A25699"/>
    <w:rsid w:val="00A25A39"/>
    <w:rsid w:val="00A26F3A"/>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B14"/>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53"/>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0821"/>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18B3"/>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3B14"/>
    <w:rsid w:val="00C74557"/>
    <w:rsid w:val="00C75B0A"/>
    <w:rsid w:val="00C76A4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006"/>
    <w:rsid w:val="00C90B07"/>
    <w:rsid w:val="00C9124D"/>
    <w:rsid w:val="00C922F1"/>
    <w:rsid w:val="00C92A40"/>
    <w:rsid w:val="00C92A53"/>
    <w:rsid w:val="00C92B48"/>
    <w:rsid w:val="00C93D8E"/>
    <w:rsid w:val="00C960EB"/>
    <w:rsid w:val="00C964D5"/>
    <w:rsid w:val="00CA1825"/>
    <w:rsid w:val="00CA2D27"/>
    <w:rsid w:val="00CA2F3E"/>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5A10"/>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9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0E33"/>
    <w:rsid w:val="00E01129"/>
    <w:rsid w:val="00E01201"/>
    <w:rsid w:val="00E01C52"/>
    <w:rsid w:val="00E03709"/>
    <w:rsid w:val="00E065FF"/>
    <w:rsid w:val="00E06D35"/>
    <w:rsid w:val="00E07EE2"/>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194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85B"/>
    <w:rsid w:val="00E66E63"/>
    <w:rsid w:val="00E66EE1"/>
    <w:rsid w:val="00E6732B"/>
    <w:rsid w:val="00E675A2"/>
    <w:rsid w:val="00E67E41"/>
    <w:rsid w:val="00E70007"/>
    <w:rsid w:val="00E70552"/>
    <w:rsid w:val="00E70828"/>
    <w:rsid w:val="00E70838"/>
    <w:rsid w:val="00E7161A"/>
    <w:rsid w:val="00E71681"/>
    <w:rsid w:val="00E721AB"/>
    <w:rsid w:val="00E72586"/>
    <w:rsid w:val="00E72B55"/>
    <w:rsid w:val="00E72F22"/>
    <w:rsid w:val="00E73FD9"/>
    <w:rsid w:val="00E801B6"/>
    <w:rsid w:val="00E80CF8"/>
    <w:rsid w:val="00E8136E"/>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161"/>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250"/>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2DDC"/>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2297"/>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3C8"/>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2CA9"/>
    <w:rsid w:val="00F735A7"/>
    <w:rsid w:val="00F74441"/>
    <w:rsid w:val="00F745D9"/>
    <w:rsid w:val="00F758A0"/>
    <w:rsid w:val="00F76BB3"/>
    <w:rsid w:val="00F76D4E"/>
    <w:rsid w:val="00F772DA"/>
    <w:rsid w:val="00F7781E"/>
    <w:rsid w:val="00F81708"/>
    <w:rsid w:val="00F8196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4604"/>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293268"/>
    <w:rsid w:val="013F4369"/>
    <w:rsid w:val="018A3335"/>
    <w:rsid w:val="019E3683"/>
    <w:rsid w:val="02025461"/>
    <w:rsid w:val="02197498"/>
    <w:rsid w:val="02465209"/>
    <w:rsid w:val="026176CE"/>
    <w:rsid w:val="029B6737"/>
    <w:rsid w:val="029E16D8"/>
    <w:rsid w:val="02D3433D"/>
    <w:rsid w:val="02D36DFE"/>
    <w:rsid w:val="02E7478A"/>
    <w:rsid w:val="02E80AFB"/>
    <w:rsid w:val="02E95947"/>
    <w:rsid w:val="03000A08"/>
    <w:rsid w:val="0335069A"/>
    <w:rsid w:val="03454DED"/>
    <w:rsid w:val="037C7496"/>
    <w:rsid w:val="037F3346"/>
    <w:rsid w:val="038F541B"/>
    <w:rsid w:val="039231F7"/>
    <w:rsid w:val="03C545D6"/>
    <w:rsid w:val="03D37E53"/>
    <w:rsid w:val="03D42E2E"/>
    <w:rsid w:val="03E4457E"/>
    <w:rsid w:val="046D5737"/>
    <w:rsid w:val="0532380B"/>
    <w:rsid w:val="055741B6"/>
    <w:rsid w:val="05A95850"/>
    <w:rsid w:val="05AB059E"/>
    <w:rsid w:val="05C41614"/>
    <w:rsid w:val="05DC71B6"/>
    <w:rsid w:val="06436049"/>
    <w:rsid w:val="06606195"/>
    <w:rsid w:val="06665122"/>
    <w:rsid w:val="06C43DE0"/>
    <w:rsid w:val="06C64491"/>
    <w:rsid w:val="06C87601"/>
    <w:rsid w:val="07347FFB"/>
    <w:rsid w:val="074A1FE5"/>
    <w:rsid w:val="07566F0F"/>
    <w:rsid w:val="077305E3"/>
    <w:rsid w:val="07790504"/>
    <w:rsid w:val="07872C01"/>
    <w:rsid w:val="078F4634"/>
    <w:rsid w:val="07937AA3"/>
    <w:rsid w:val="07A90BEE"/>
    <w:rsid w:val="07AD2313"/>
    <w:rsid w:val="080A52B6"/>
    <w:rsid w:val="0837416F"/>
    <w:rsid w:val="089D1162"/>
    <w:rsid w:val="09102B5A"/>
    <w:rsid w:val="097561E4"/>
    <w:rsid w:val="09BE4364"/>
    <w:rsid w:val="0A0211D5"/>
    <w:rsid w:val="0A1107DC"/>
    <w:rsid w:val="0A93506B"/>
    <w:rsid w:val="0ABA4BE6"/>
    <w:rsid w:val="0B2F087A"/>
    <w:rsid w:val="0B375954"/>
    <w:rsid w:val="0B3F7726"/>
    <w:rsid w:val="0B5C379F"/>
    <w:rsid w:val="0B5D5B62"/>
    <w:rsid w:val="0B9E48FD"/>
    <w:rsid w:val="0BB622A7"/>
    <w:rsid w:val="0BE5207C"/>
    <w:rsid w:val="0C2A3F33"/>
    <w:rsid w:val="0C3E42BE"/>
    <w:rsid w:val="0C4C20FB"/>
    <w:rsid w:val="0CA37841"/>
    <w:rsid w:val="0CD4384E"/>
    <w:rsid w:val="0D076B43"/>
    <w:rsid w:val="0D4806BF"/>
    <w:rsid w:val="0D7336B7"/>
    <w:rsid w:val="0D9541D0"/>
    <w:rsid w:val="0DA043BC"/>
    <w:rsid w:val="0DD759F4"/>
    <w:rsid w:val="0E024D74"/>
    <w:rsid w:val="0E0B0A7A"/>
    <w:rsid w:val="0E484301"/>
    <w:rsid w:val="0E5F1249"/>
    <w:rsid w:val="0E706C2E"/>
    <w:rsid w:val="0EB95119"/>
    <w:rsid w:val="0ECA11E1"/>
    <w:rsid w:val="0F0E18EA"/>
    <w:rsid w:val="0F7B3163"/>
    <w:rsid w:val="0F9F0072"/>
    <w:rsid w:val="0FC36630"/>
    <w:rsid w:val="102B5AE8"/>
    <w:rsid w:val="10611A0A"/>
    <w:rsid w:val="10851E65"/>
    <w:rsid w:val="10AC5059"/>
    <w:rsid w:val="10B62EC4"/>
    <w:rsid w:val="11087633"/>
    <w:rsid w:val="114B0FBD"/>
    <w:rsid w:val="117143B2"/>
    <w:rsid w:val="118063A3"/>
    <w:rsid w:val="11830834"/>
    <w:rsid w:val="11A46535"/>
    <w:rsid w:val="11D363A6"/>
    <w:rsid w:val="11D5049D"/>
    <w:rsid w:val="11DC1A86"/>
    <w:rsid w:val="127A292F"/>
    <w:rsid w:val="1282121E"/>
    <w:rsid w:val="13012641"/>
    <w:rsid w:val="132F4A2F"/>
    <w:rsid w:val="135C764B"/>
    <w:rsid w:val="13C635FC"/>
    <w:rsid w:val="13FD7A4B"/>
    <w:rsid w:val="148636F4"/>
    <w:rsid w:val="14D0319D"/>
    <w:rsid w:val="14DC6FEA"/>
    <w:rsid w:val="150712B5"/>
    <w:rsid w:val="15145780"/>
    <w:rsid w:val="15220B7D"/>
    <w:rsid w:val="152F2422"/>
    <w:rsid w:val="15531C87"/>
    <w:rsid w:val="15AA616B"/>
    <w:rsid w:val="15F36B10"/>
    <w:rsid w:val="15F67B8F"/>
    <w:rsid w:val="15F873A5"/>
    <w:rsid w:val="16CD33F4"/>
    <w:rsid w:val="16E1457B"/>
    <w:rsid w:val="16F26FDC"/>
    <w:rsid w:val="173E6AE4"/>
    <w:rsid w:val="17721137"/>
    <w:rsid w:val="177E15D6"/>
    <w:rsid w:val="17936F98"/>
    <w:rsid w:val="17A1185A"/>
    <w:rsid w:val="17AA5F28"/>
    <w:rsid w:val="17B960F1"/>
    <w:rsid w:val="17E75995"/>
    <w:rsid w:val="18023FB5"/>
    <w:rsid w:val="181201CE"/>
    <w:rsid w:val="189F21AE"/>
    <w:rsid w:val="190A3122"/>
    <w:rsid w:val="190D42EB"/>
    <w:rsid w:val="19235F91"/>
    <w:rsid w:val="19450E59"/>
    <w:rsid w:val="19813FB0"/>
    <w:rsid w:val="19C04EA2"/>
    <w:rsid w:val="19DD232A"/>
    <w:rsid w:val="1A035E1F"/>
    <w:rsid w:val="1A3D4C07"/>
    <w:rsid w:val="1A5F2FF9"/>
    <w:rsid w:val="1A8C3078"/>
    <w:rsid w:val="1B0B1F02"/>
    <w:rsid w:val="1B1520DE"/>
    <w:rsid w:val="1B553769"/>
    <w:rsid w:val="1B5A4D98"/>
    <w:rsid w:val="1B610368"/>
    <w:rsid w:val="1BA52638"/>
    <w:rsid w:val="1BA96B88"/>
    <w:rsid w:val="1BAA0BEC"/>
    <w:rsid w:val="1BB27AA1"/>
    <w:rsid w:val="1BEC33E8"/>
    <w:rsid w:val="1C3861F8"/>
    <w:rsid w:val="1C403FB2"/>
    <w:rsid w:val="1C48281E"/>
    <w:rsid w:val="1C4E40FB"/>
    <w:rsid w:val="1C620733"/>
    <w:rsid w:val="1C6A496F"/>
    <w:rsid w:val="1CC96D1D"/>
    <w:rsid w:val="1D0C4F8F"/>
    <w:rsid w:val="1D743763"/>
    <w:rsid w:val="1D8537AD"/>
    <w:rsid w:val="1D931EA1"/>
    <w:rsid w:val="1DA3508E"/>
    <w:rsid w:val="1DD063A3"/>
    <w:rsid w:val="1DD43CFE"/>
    <w:rsid w:val="1DDC3DD2"/>
    <w:rsid w:val="1DE06B47"/>
    <w:rsid w:val="1DE15A22"/>
    <w:rsid w:val="1E05035C"/>
    <w:rsid w:val="1E415CA2"/>
    <w:rsid w:val="1E7C7293"/>
    <w:rsid w:val="1F125176"/>
    <w:rsid w:val="1F374DC3"/>
    <w:rsid w:val="1F8452B0"/>
    <w:rsid w:val="1FA336D9"/>
    <w:rsid w:val="1FFE6BEE"/>
    <w:rsid w:val="20724834"/>
    <w:rsid w:val="20937EA1"/>
    <w:rsid w:val="20BA340F"/>
    <w:rsid w:val="21307C8A"/>
    <w:rsid w:val="216F7993"/>
    <w:rsid w:val="21825E03"/>
    <w:rsid w:val="21B43741"/>
    <w:rsid w:val="21BB220E"/>
    <w:rsid w:val="21ED3348"/>
    <w:rsid w:val="221D5633"/>
    <w:rsid w:val="22517AC9"/>
    <w:rsid w:val="22743D02"/>
    <w:rsid w:val="22955A7E"/>
    <w:rsid w:val="22B257B3"/>
    <w:rsid w:val="2318301A"/>
    <w:rsid w:val="23825FAA"/>
    <w:rsid w:val="239F0660"/>
    <w:rsid w:val="24482D50"/>
    <w:rsid w:val="248C5333"/>
    <w:rsid w:val="24F92FD3"/>
    <w:rsid w:val="2516192C"/>
    <w:rsid w:val="258B383C"/>
    <w:rsid w:val="2595310C"/>
    <w:rsid w:val="2596587C"/>
    <w:rsid w:val="25D521C4"/>
    <w:rsid w:val="25EC3BAF"/>
    <w:rsid w:val="260333D3"/>
    <w:rsid w:val="26BE7D17"/>
    <w:rsid w:val="26C171CB"/>
    <w:rsid w:val="26C572D0"/>
    <w:rsid w:val="26ED7F87"/>
    <w:rsid w:val="26F927DC"/>
    <w:rsid w:val="27645E36"/>
    <w:rsid w:val="27F90F16"/>
    <w:rsid w:val="2805374C"/>
    <w:rsid w:val="28054429"/>
    <w:rsid w:val="285A1251"/>
    <w:rsid w:val="286E52FC"/>
    <w:rsid w:val="28763103"/>
    <w:rsid w:val="28C606E7"/>
    <w:rsid w:val="28E0635C"/>
    <w:rsid w:val="29147BC7"/>
    <w:rsid w:val="293F739D"/>
    <w:rsid w:val="29AC5B2F"/>
    <w:rsid w:val="2A004E13"/>
    <w:rsid w:val="2A362B98"/>
    <w:rsid w:val="2A776C9D"/>
    <w:rsid w:val="2ABA04F3"/>
    <w:rsid w:val="2ABB7DF2"/>
    <w:rsid w:val="2ADE448E"/>
    <w:rsid w:val="2B273BF0"/>
    <w:rsid w:val="2B7153EE"/>
    <w:rsid w:val="2B9E5305"/>
    <w:rsid w:val="2BCB0385"/>
    <w:rsid w:val="2BD052EA"/>
    <w:rsid w:val="2BD902EC"/>
    <w:rsid w:val="2BE91746"/>
    <w:rsid w:val="2BEC7C7F"/>
    <w:rsid w:val="2C3D2ACB"/>
    <w:rsid w:val="2C4D184B"/>
    <w:rsid w:val="2C8A3614"/>
    <w:rsid w:val="2C9158CB"/>
    <w:rsid w:val="2D142ED1"/>
    <w:rsid w:val="2D8F379E"/>
    <w:rsid w:val="2DBB7F4B"/>
    <w:rsid w:val="2DC01B3D"/>
    <w:rsid w:val="2DD83402"/>
    <w:rsid w:val="2E135BB8"/>
    <w:rsid w:val="2E2E5D68"/>
    <w:rsid w:val="2E386092"/>
    <w:rsid w:val="2E605140"/>
    <w:rsid w:val="2EDE5AAB"/>
    <w:rsid w:val="2EE737A0"/>
    <w:rsid w:val="2EEC0FA7"/>
    <w:rsid w:val="2EF21CAB"/>
    <w:rsid w:val="2F3841ED"/>
    <w:rsid w:val="2F3D354D"/>
    <w:rsid w:val="2F3E1264"/>
    <w:rsid w:val="2F41567C"/>
    <w:rsid w:val="2FC736C3"/>
    <w:rsid w:val="2FCC0796"/>
    <w:rsid w:val="30007685"/>
    <w:rsid w:val="302C5848"/>
    <w:rsid w:val="30422D49"/>
    <w:rsid w:val="3055098D"/>
    <w:rsid w:val="308E1AC7"/>
    <w:rsid w:val="30A0042E"/>
    <w:rsid w:val="30A457B2"/>
    <w:rsid w:val="30B1408E"/>
    <w:rsid w:val="30CE71F9"/>
    <w:rsid w:val="30D62337"/>
    <w:rsid w:val="30E649EF"/>
    <w:rsid w:val="30EF67E5"/>
    <w:rsid w:val="30F86CF2"/>
    <w:rsid w:val="310311E3"/>
    <w:rsid w:val="311E2D58"/>
    <w:rsid w:val="318253DE"/>
    <w:rsid w:val="31AC1859"/>
    <w:rsid w:val="31DE2AB3"/>
    <w:rsid w:val="31EB6616"/>
    <w:rsid w:val="31F10E36"/>
    <w:rsid w:val="31F311AC"/>
    <w:rsid w:val="31F4722E"/>
    <w:rsid w:val="328D7DE2"/>
    <w:rsid w:val="32AF5AB2"/>
    <w:rsid w:val="32B443DF"/>
    <w:rsid w:val="32BA571C"/>
    <w:rsid w:val="32E622FB"/>
    <w:rsid w:val="32EE6C13"/>
    <w:rsid w:val="3318088C"/>
    <w:rsid w:val="332E1B31"/>
    <w:rsid w:val="333A23FE"/>
    <w:rsid w:val="3347259A"/>
    <w:rsid w:val="33AC39F7"/>
    <w:rsid w:val="33D83EFD"/>
    <w:rsid w:val="33EC2E7F"/>
    <w:rsid w:val="34224435"/>
    <w:rsid w:val="344319D6"/>
    <w:rsid w:val="344D3544"/>
    <w:rsid w:val="349E0F23"/>
    <w:rsid w:val="34E61774"/>
    <w:rsid w:val="34E6283D"/>
    <w:rsid w:val="35D02BA5"/>
    <w:rsid w:val="35DB1C68"/>
    <w:rsid w:val="35EA5F79"/>
    <w:rsid w:val="3653456D"/>
    <w:rsid w:val="366B4192"/>
    <w:rsid w:val="369D1489"/>
    <w:rsid w:val="36E818A0"/>
    <w:rsid w:val="36F4767F"/>
    <w:rsid w:val="376635D8"/>
    <w:rsid w:val="37695060"/>
    <w:rsid w:val="378418A7"/>
    <w:rsid w:val="37B31BC5"/>
    <w:rsid w:val="37C26948"/>
    <w:rsid w:val="38211D48"/>
    <w:rsid w:val="383C102E"/>
    <w:rsid w:val="386709AA"/>
    <w:rsid w:val="387D642F"/>
    <w:rsid w:val="38A152FE"/>
    <w:rsid w:val="38A762B5"/>
    <w:rsid w:val="38CA5FD2"/>
    <w:rsid w:val="39130B27"/>
    <w:rsid w:val="3919772A"/>
    <w:rsid w:val="39303B89"/>
    <w:rsid w:val="39325F59"/>
    <w:rsid w:val="394A3E0E"/>
    <w:rsid w:val="394A561C"/>
    <w:rsid w:val="39CC7F0A"/>
    <w:rsid w:val="3A310809"/>
    <w:rsid w:val="3A7645E5"/>
    <w:rsid w:val="3A8A3C6B"/>
    <w:rsid w:val="3A940645"/>
    <w:rsid w:val="3AC649C3"/>
    <w:rsid w:val="3AC705C2"/>
    <w:rsid w:val="3B07617C"/>
    <w:rsid w:val="3B091033"/>
    <w:rsid w:val="3B3339E2"/>
    <w:rsid w:val="3B4130B9"/>
    <w:rsid w:val="3B4D1C93"/>
    <w:rsid w:val="3B6E149E"/>
    <w:rsid w:val="3B765F9D"/>
    <w:rsid w:val="3B862684"/>
    <w:rsid w:val="3BBF0327"/>
    <w:rsid w:val="3BCB7198"/>
    <w:rsid w:val="3BCD1DE8"/>
    <w:rsid w:val="3BFB3321"/>
    <w:rsid w:val="3C7B7D0F"/>
    <w:rsid w:val="3D1E4B3E"/>
    <w:rsid w:val="3D235BF0"/>
    <w:rsid w:val="3D4027C3"/>
    <w:rsid w:val="3D62619A"/>
    <w:rsid w:val="3D7509E5"/>
    <w:rsid w:val="3D8F201A"/>
    <w:rsid w:val="3DA74876"/>
    <w:rsid w:val="3DB46376"/>
    <w:rsid w:val="3DB93C82"/>
    <w:rsid w:val="3E287CA5"/>
    <w:rsid w:val="3E9450B8"/>
    <w:rsid w:val="3E971150"/>
    <w:rsid w:val="3EB55645"/>
    <w:rsid w:val="3ECB4852"/>
    <w:rsid w:val="3ED16F9F"/>
    <w:rsid w:val="3ED95EA9"/>
    <w:rsid w:val="3EFE309E"/>
    <w:rsid w:val="3EFF4D66"/>
    <w:rsid w:val="3F3B0AE4"/>
    <w:rsid w:val="3F436060"/>
    <w:rsid w:val="3F512870"/>
    <w:rsid w:val="3F5605BF"/>
    <w:rsid w:val="3F5C54AA"/>
    <w:rsid w:val="3F6236D0"/>
    <w:rsid w:val="3F7C0062"/>
    <w:rsid w:val="3F8778D8"/>
    <w:rsid w:val="3F94702A"/>
    <w:rsid w:val="3FE06D3B"/>
    <w:rsid w:val="3FE2521F"/>
    <w:rsid w:val="3FF65CE8"/>
    <w:rsid w:val="402F1811"/>
    <w:rsid w:val="403C5A07"/>
    <w:rsid w:val="404175AD"/>
    <w:rsid w:val="40653A85"/>
    <w:rsid w:val="40C552CC"/>
    <w:rsid w:val="40D309FB"/>
    <w:rsid w:val="40D35F8A"/>
    <w:rsid w:val="40F97454"/>
    <w:rsid w:val="416449F7"/>
    <w:rsid w:val="418B3904"/>
    <w:rsid w:val="41D71CA1"/>
    <w:rsid w:val="41DD4469"/>
    <w:rsid w:val="4233454F"/>
    <w:rsid w:val="42A77BCB"/>
    <w:rsid w:val="43043B22"/>
    <w:rsid w:val="43527DA5"/>
    <w:rsid w:val="435D1729"/>
    <w:rsid w:val="44064915"/>
    <w:rsid w:val="44292404"/>
    <w:rsid w:val="44641089"/>
    <w:rsid w:val="449079F0"/>
    <w:rsid w:val="44BC5DFB"/>
    <w:rsid w:val="44BD69EB"/>
    <w:rsid w:val="44D562D5"/>
    <w:rsid w:val="44D96EB5"/>
    <w:rsid w:val="44FA3F82"/>
    <w:rsid w:val="45093CD4"/>
    <w:rsid w:val="451231DA"/>
    <w:rsid w:val="45440EBA"/>
    <w:rsid w:val="454D7023"/>
    <w:rsid w:val="455728DE"/>
    <w:rsid w:val="457D7286"/>
    <w:rsid w:val="461D4A07"/>
    <w:rsid w:val="46F07AD6"/>
    <w:rsid w:val="46FB3CEC"/>
    <w:rsid w:val="46FE237E"/>
    <w:rsid w:val="47407DD5"/>
    <w:rsid w:val="475F74C6"/>
    <w:rsid w:val="47937B86"/>
    <w:rsid w:val="47C471CA"/>
    <w:rsid w:val="47E32C09"/>
    <w:rsid w:val="480D21FE"/>
    <w:rsid w:val="483E6094"/>
    <w:rsid w:val="48826C2D"/>
    <w:rsid w:val="489573EB"/>
    <w:rsid w:val="48D4447B"/>
    <w:rsid w:val="49860758"/>
    <w:rsid w:val="49CF100D"/>
    <w:rsid w:val="4A1238AE"/>
    <w:rsid w:val="4A2E7F67"/>
    <w:rsid w:val="4AA4556C"/>
    <w:rsid w:val="4AA91EEB"/>
    <w:rsid w:val="4AB641D9"/>
    <w:rsid w:val="4AF83480"/>
    <w:rsid w:val="4B383E69"/>
    <w:rsid w:val="4B4605E7"/>
    <w:rsid w:val="4B63554E"/>
    <w:rsid w:val="4B85051F"/>
    <w:rsid w:val="4B8F625F"/>
    <w:rsid w:val="4BB46E96"/>
    <w:rsid w:val="4BDA60D4"/>
    <w:rsid w:val="4BE216ED"/>
    <w:rsid w:val="4C806421"/>
    <w:rsid w:val="4CA0475B"/>
    <w:rsid w:val="4CB65211"/>
    <w:rsid w:val="4CCF4A6B"/>
    <w:rsid w:val="4CDF4A30"/>
    <w:rsid w:val="4D0E1A0D"/>
    <w:rsid w:val="4D450A84"/>
    <w:rsid w:val="4D5F4A81"/>
    <w:rsid w:val="4D61529C"/>
    <w:rsid w:val="4D8409ED"/>
    <w:rsid w:val="4DE17BFB"/>
    <w:rsid w:val="4DFB11F6"/>
    <w:rsid w:val="4E151645"/>
    <w:rsid w:val="4E774DAA"/>
    <w:rsid w:val="4E971861"/>
    <w:rsid w:val="4EAF5F90"/>
    <w:rsid w:val="4ECD3CCE"/>
    <w:rsid w:val="4EF13B48"/>
    <w:rsid w:val="4EF61C01"/>
    <w:rsid w:val="4F7908C4"/>
    <w:rsid w:val="4FA40ED3"/>
    <w:rsid w:val="4FB76013"/>
    <w:rsid w:val="4FE65048"/>
    <w:rsid w:val="4FFE4E89"/>
    <w:rsid w:val="4FFF442F"/>
    <w:rsid w:val="50454464"/>
    <w:rsid w:val="50697A27"/>
    <w:rsid w:val="508C2093"/>
    <w:rsid w:val="50EB36A6"/>
    <w:rsid w:val="51890380"/>
    <w:rsid w:val="51B103D9"/>
    <w:rsid w:val="51C3412D"/>
    <w:rsid w:val="520C6D3A"/>
    <w:rsid w:val="524A3FB4"/>
    <w:rsid w:val="52B34C17"/>
    <w:rsid w:val="52BE22AC"/>
    <w:rsid w:val="52FD6530"/>
    <w:rsid w:val="5354252D"/>
    <w:rsid w:val="538928D5"/>
    <w:rsid w:val="538C5F06"/>
    <w:rsid w:val="53BD2563"/>
    <w:rsid w:val="53F06424"/>
    <w:rsid w:val="53F21C60"/>
    <w:rsid w:val="53F35EFB"/>
    <w:rsid w:val="53FC51FB"/>
    <w:rsid w:val="54041F40"/>
    <w:rsid w:val="54115349"/>
    <w:rsid w:val="54610BFE"/>
    <w:rsid w:val="546B6E19"/>
    <w:rsid w:val="548254F0"/>
    <w:rsid w:val="5485514F"/>
    <w:rsid w:val="548D558B"/>
    <w:rsid w:val="54971802"/>
    <w:rsid w:val="549A6C2B"/>
    <w:rsid w:val="54CC60E8"/>
    <w:rsid w:val="54D47B64"/>
    <w:rsid w:val="54E66836"/>
    <w:rsid w:val="54EE3C23"/>
    <w:rsid w:val="55082A65"/>
    <w:rsid w:val="554353F9"/>
    <w:rsid w:val="55992B5C"/>
    <w:rsid w:val="55B0753C"/>
    <w:rsid w:val="55C53EA6"/>
    <w:rsid w:val="55DD6EED"/>
    <w:rsid w:val="56095D05"/>
    <w:rsid w:val="562208D4"/>
    <w:rsid w:val="56500E3C"/>
    <w:rsid w:val="565B7FD3"/>
    <w:rsid w:val="56BA2A52"/>
    <w:rsid w:val="56BF6117"/>
    <w:rsid w:val="577C5304"/>
    <w:rsid w:val="57825F9E"/>
    <w:rsid w:val="57925558"/>
    <w:rsid w:val="57931C5D"/>
    <w:rsid w:val="57BA0FF4"/>
    <w:rsid w:val="57C93BCD"/>
    <w:rsid w:val="57D16E9F"/>
    <w:rsid w:val="57D4668D"/>
    <w:rsid w:val="57E177C0"/>
    <w:rsid w:val="58006EC2"/>
    <w:rsid w:val="583A6454"/>
    <w:rsid w:val="58B77EC9"/>
    <w:rsid w:val="58FC58DC"/>
    <w:rsid w:val="59016536"/>
    <w:rsid w:val="59070489"/>
    <w:rsid w:val="590C29FE"/>
    <w:rsid w:val="5921743D"/>
    <w:rsid w:val="59A537CB"/>
    <w:rsid w:val="59F26FCA"/>
    <w:rsid w:val="5A2B7E5E"/>
    <w:rsid w:val="5A4D6C79"/>
    <w:rsid w:val="5A6B0796"/>
    <w:rsid w:val="5A7036ED"/>
    <w:rsid w:val="5A7D5709"/>
    <w:rsid w:val="5AA07F40"/>
    <w:rsid w:val="5ADF6851"/>
    <w:rsid w:val="5B071AB3"/>
    <w:rsid w:val="5B364947"/>
    <w:rsid w:val="5B650D9F"/>
    <w:rsid w:val="5B7C4A30"/>
    <w:rsid w:val="5B9A5AAF"/>
    <w:rsid w:val="5BC4406A"/>
    <w:rsid w:val="5BD01EF1"/>
    <w:rsid w:val="5BDE0537"/>
    <w:rsid w:val="5C190553"/>
    <w:rsid w:val="5C1B7068"/>
    <w:rsid w:val="5C3849AE"/>
    <w:rsid w:val="5C6A3237"/>
    <w:rsid w:val="5CBF559E"/>
    <w:rsid w:val="5CDA23D8"/>
    <w:rsid w:val="5CFE55AB"/>
    <w:rsid w:val="5D4D387D"/>
    <w:rsid w:val="5D6851F5"/>
    <w:rsid w:val="5D8F5802"/>
    <w:rsid w:val="5E483371"/>
    <w:rsid w:val="5E531B97"/>
    <w:rsid w:val="5E806782"/>
    <w:rsid w:val="5EC62C14"/>
    <w:rsid w:val="5EE276D6"/>
    <w:rsid w:val="5F144DEA"/>
    <w:rsid w:val="5F2C3F24"/>
    <w:rsid w:val="5F445612"/>
    <w:rsid w:val="5F7E3018"/>
    <w:rsid w:val="5FE66795"/>
    <w:rsid w:val="606D4E71"/>
    <w:rsid w:val="6086082C"/>
    <w:rsid w:val="60C555D4"/>
    <w:rsid w:val="60F1388E"/>
    <w:rsid w:val="6129748A"/>
    <w:rsid w:val="614450EA"/>
    <w:rsid w:val="616128D0"/>
    <w:rsid w:val="61A77079"/>
    <w:rsid w:val="61F45303"/>
    <w:rsid w:val="61F938BC"/>
    <w:rsid w:val="61FE4473"/>
    <w:rsid w:val="6211594E"/>
    <w:rsid w:val="62380CF4"/>
    <w:rsid w:val="626A7D5A"/>
    <w:rsid w:val="626F16E1"/>
    <w:rsid w:val="62D6732E"/>
    <w:rsid w:val="63332051"/>
    <w:rsid w:val="638279B4"/>
    <w:rsid w:val="639C64A0"/>
    <w:rsid w:val="63DC04CE"/>
    <w:rsid w:val="64154E75"/>
    <w:rsid w:val="641C5084"/>
    <w:rsid w:val="64632CB3"/>
    <w:rsid w:val="6487551C"/>
    <w:rsid w:val="64EE225D"/>
    <w:rsid w:val="65000D94"/>
    <w:rsid w:val="65454382"/>
    <w:rsid w:val="654B36BD"/>
    <w:rsid w:val="6552409C"/>
    <w:rsid w:val="655D7FBE"/>
    <w:rsid w:val="65FF1E91"/>
    <w:rsid w:val="660A5ADC"/>
    <w:rsid w:val="670D1E38"/>
    <w:rsid w:val="672969F8"/>
    <w:rsid w:val="67BE731B"/>
    <w:rsid w:val="67E0162D"/>
    <w:rsid w:val="67FE4BC5"/>
    <w:rsid w:val="68BB4E93"/>
    <w:rsid w:val="68C208E3"/>
    <w:rsid w:val="68DE068C"/>
    <w:rsid w:val="69315206"/>
    <w:rsid w:val="6A130CD7"/>
    <w:rsid w:val="6A4470E3"/>
    <w:rsid w:val="6A6C40A8"/>
    <w:rsid w:val="6ABD617F"/>
    <w:rsid w:val="6AC25622"/>
    <w:rsid w:val="6ADD109A"/>
    <w:rsid w:val="6AEC3960"/>
    <w:rsid w:val="6B57195A"/>
    <w:rsid w:val="6B6537B4"/>
    <w:rsid w:val="6B8320C0"/>
    <w:rsid w:val="6BA0744F"/>
    <w:rsid w:val="6BAD2A66"/>
    <w:rsid w:val="6BD154CC"/>
    <w:rsid w:val="6BF46747"/>
    <w:rsid w:val="6C5D26DE"/>
    <w:rsid w:val="6C615D2A"/>
    <w:rsid w:val="6CC92D08"/>
    <w:rsid w:val="6CF51FA2"/>
    <w:rsid w:val="6D2C2345"/>
    <w:rsid w:val="6D5546D8"/>
    <w:rsid w:val="6D986AFC"/>
    <w:rsid w:val="6DEC5AC7"/>
    <w:rsid w:val="6E071562"/>
    <w:rsid w:val="6E091B66"/>
    <w:rsid w:val="6E146DCC"/>
    <w:rsid w:val="6E4F262A"/>
    <w:rsid w:val="6E6164B5"/>
    <w:rsid w:val="6EF232EC"/>
    <w:rsid w:val="6F083740"/>
    <w:rsid w:val="6F633862"/>
    <w:rsid w:val="6F651FD5"/>
    <w:rsid w:val="6F6F086F"/>
    <w:rsid w:val="6F830CF2"/>
    <w:rsid w:val="6FC463E6"/>
    <w:rsid w:val="6FF670D1"/>
    <w:rsid w:val="70C31D6B"/>
    <w:rsid w:val="70C51431"/>
    <w:rsid w:val="70EE49B2"/>
    <w:rsid w:val="70F74CDB"/>
    <w:rsid w:val="71690822"/>
    <w:rsid w:val="716F0EE9"/>
    <w:rsid w:val="717B6C34"/>
    <w:rsid w:val="71904B0C"/>
    <w:rsid w:val="71B2527A"/>
    <w:rsid w:val="71C73801"/>
    <w:rsid w:val="7205184D"/>
    <w:rsid w:val="7233601F"/>
    <w:rsid w:val="72420824"/>
    <w:rsid w:val="724662AD"/>
    <w:rsid w:val="725A524B"/>
    <w:rsid w:val="72655E48"/>
    <w:rsid w:val="7289422C"/>
    <w:rsid w:val="728C3B65"/>
    <w:rsid w:val="72F21DD2"/>
    <w:rsid w:val="73080216"/>
    <w:rsid w:val="73571C35"/>
    <w:rsid w:val="737C74C8"/>
    <w:rsid w:val="738601EA"/>
    <w:rsid w:val="739A3210"/>
    <w:rsid w:val="73D22D97"/>
    <w:rsid w:val="741400C7"/>
    <w:rsid w:val="742268AF"/>
    <w:rsid w:val="74533F62"/>
    <w:rsid w:val="74601B98"/>
    <w:rsid w:val="74891E24"/>
    <w:rsid w:val="748F1382"/>
    <w:rsid w:val="758917FF"/>
    <w:rsid w:val="75B4786F"/>
    <w:rsid w:val="75CE3C64"/>
    <w:rsid w:val="760B6D06"/>
    <w:rsid w:val="766F54E7"/>
    <w:rsid w:val="767432D4"/>
    <w:rsid w:val="76AC5530"/>
    <w:rsid w:val="76C667BC"/>
    <w:rsid w:val="77435EA1"/>
    <w:rsid w:val="776F0CF3"/>
    <w:rsid w:val="77811976"/>
    <w:rsid w:val="78180F6A"/>
    <w:rsid w:val="78293551"/>
    <w:rsid w:val="78672956"/>
    <w:rsid w:val="789A1911"/>
    <w:rsid w:val="78DB67FF"/>
    <w:rsid w:val="79334995"/>
    <w:rsid w:val="79891A1F"/>
    <w:rsid w:val="799854A8"/>
    <w:rsid w:val="79AB2CDA"/>
    <w:rsid w:val="79AB74B6"/>
    <w:rsid w:val="79FE79DA"/>
    <w:rsid w:val="7A0441EA"/>
    <w:rsid w:val="7A0643B5"/>
    <w:rsid w:val="7A735C17"/>
    <w:rsid w:val="7A7374BF"/>
    <w:rsid w:val="7A831561"/>
    <w:rsid w:val="7A887546"/>
    <w:rsid w:val="7A953022"/>
    <w:rsid w:val="7AA71D7C"/>
    <w:rsid w:val="7AAD5FEE"/>
    <w:rsid w:val="7AE364A4"/>
    <w:rsid w:val="7AF444A3"/>
    <w:rsid w:val="7B4E68F8"/>
    <w:rsid w:val="7B8527E7"/>
    <w:rsid w:val="7B885694"/>
    <w:rsid w:val="7B973637"/>
    <w:rsid w:val="7C165D42"/>
    <w:rsid w:val="7C7377E9"/>
    <w:rsid w:val="7C877F74"/>
    <w:rsid w:val="7C9A5F52"/>
    <w:rsid w:val="7CF312BE"/>
    <w:rsid w:val="7D326575"/>
    <w:rsid w:val="7D823D52"/>
    <w:rsid w:val="7D9120E2"/>
    <w:rsid w:val="7DD62031"/>
    <w:rsid w:val="7DE25DB5"/>
    <w:rsid w:val="7E695E0F"/>
    <w:rsid w:val="7E8B425F"/>
    <w:rsid w:val="7E910D86"/>
    <w:rsid w:val="7E936BF6"/>
    <w:rsid w:val="7ECA57C4"/>
    <w:rsid w:val="7ED2704E"/>
    <w:rsid w:val="7EDA196C"/>
    <w:rsid w:val="7EF24F07"/>
    <w:rsid w:val="7EFC5B0D"/>
    <w:rsid w:val="7FAA7DED"/>
    <w:rsid w:val="7FCA19E0"/>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01"/>
    <w:qFormat/>
    <w:uiPriority w:val="0"/>
    <w:pPr>
      <w:keepNext/>
      <w:keepLines/>
      <w:spacing w:before="260" w:after="260" w:line="416" w:lineRule="auto"/>
      <w:outlineLvl w:val="2"/>
    </w:pPr>
    <w:rPr>
      <w:b/>
      <w:bCs/>
      <w:sz w:val="32"/>
      <w:szCs w:val="32"/>
    </w:rPr>
  </w:style>
  <w:style w:type="paragraph" w:styleId="6">
    <w:name w:val="heading 4"/>
    <w:basedOn w:val="1"/>
    <w:next w:val="1"/>
    <w:link w:val="187"/>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300"/>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03"/>
    <w:qFormat/>
    <w:uiPriority w:val="0"/>
    <w:pPr>
      <w:keepNext/>
      <w:keepLines/>
      <w:ind w:firstLine="200" w:firstLineChars="200"/>
      <w:outlineLvl w:val="5"/>
    </w:pPr>
    <w:rPr>
      <w:rFonts w:hAnsi="Arial"/>
    </w:rPr>
  </w:style>
  <w:style w:type="paragraph" w:styleId="10">
    <w:name w:val="heading 7"/>
    <w:basedOn w:val="1"/>
    <w:next w:val="1"/>
    <w:link w:val="280"/>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75"/>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06"/>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22"/>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12"/>
    <w:qFormat/>
    <w:uiPriority w:val="0"/>
    <w:pPr>
      <w:shd w:val="clear" w:color="auto" w:fill="000080"/>
    </w:pPr>
  </w:style>
  <w:style w:type="paragraph" w:styleId="16">
    <w:name w:val="annotation text"/>
    <w:basedOn w:val="1"/>
    <w:link w:val="297"/>
    <w:qFormat/>
    <w:uiPriority w:val="99"/>
    <w:pPr>
      <w:jc w:val="left"/>
    </w:pPr>
  </w:style>
  <w:style w:type="paragraph" w:styleId="17">
    <w:name w:val="Body Text 3"/>
    <w:basedOn w:val="1"/>
    <w:link w:val="316"/>
    <w:qFormat/>
    <w:uiPriority w:val="0"/>
    <w:pPr>
      <w:spacing w:after="120"/>
    </w:pPr>
    <w:rPr>
      <w:sz w:val="16"/>
      <w:szCs w:val="16"/>
    </w:rPr>
  </w:style>
  <w:style w:type="paragraph" w:styleId="18">
    <w:name w:val="Body Text Indent"/>
    <w:basedOn w:val="1"/>
    <w:link w:val="277"/>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12"/>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5"/>
    <w:qFormat/>
    <w:uiPriority w:val="0"/>
    <w:pPr>
      <w:ind w:left="100" w:leftChars="2500"/>
    </w:pPr>
  </w:style>
  <w:style w:type="paragraph" w:styleId="26">
    <w:name w:val="Body Text Indent 2"/>
    <w:basedOn w:val="1"/>
    <w:link w:val="279"/>
    <w:qFormat/>
    <w:uiPriority w:val="0"/>
    <w:pPr>
      <w:widowControl/>
      <w:spacing w:line="480" w:lineRule="auto"/>
      <w:ind w:firstLine="560"/>
      <w:jc w:val="left"/>
    </w:pPr>
    <w:rPr>
      <w:kern w:val="0"/>
      <w:sz w:val="28"/>
    </w:rPr>
  </w:style>
  <w:style w:type="paragraph" w:styleId="27">
    <w:name w:val="endnote text"/>
    <w:basedOn w:val="1"/>
    <w:link w:val="189"/>
    <w:qFormat/>
    <w:uiPriority w:val="0"/>
    <w:pPr>
      <w:widowControl/>
      <w:snapToGrid w:val="0"/>
      <w:jc w:val="left"/>
    </w:pPr>
    <w:rPr>
      <w:rFonts w:ascii="Arial" w:hAnsi="Arial" w:cs="Arial"/>
      <w:kern w:val="0"/>
      <w:sz w:val="20"/>
      <w:lang w:eastAsia="en-US"/>
    </w:rPr>
  </w:style>
  <w:style w:type="paragraph" w:styleId="28">
    <w:name w:val="Balloon Text"/>
    <w:basedOn w:val="1"/>
    <w:link w:val="216"/>
    <w:qFormat/>
    <w:uiPriority w:val="0"/>
    <w:rPr>
      <w:sz w:val="18"/>
      <w:szCs w:val="18"/>
    </w:rPr>
  </w:style>
  <w:style w:type="paragraph" w:styleId="29">
    <w:name w:val="footer"/>
    <w:basedOn w:val="1"/>
    <w:next w:val="1"/>
    <w:link w:val="204"/>
    <w:qFormat/>
    <w:uiPriority w:val="0"/>
    <w:pPr>
      <w:tabs>
        <w:tab w:val="center" w:pos="4153"/>
        <w:tab w:val="right" w:pos="8306"/>
      </w:tabs>
      <w:snapToGrid w:val="0"/>
      <w:jc w:val="left"/>
    </w:pPr>
    <w:rPr>
      <w:sz w:val="18"/>
      <w:szCs w:val="18"/>
    </w:rPr>
  </w:style>
  <w:style w:type="paragraph" w:styleId="30">
    <w:name w:val="header"/>
    <w:basedOn w:val="1"/>
    <w:link w:val="244"/>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9"/>
    <w:qFormat/>
    <w:uiPriority w:val="0"/>
    <w:pPr>
      <w:widowControl/>
      <w:jc w:val="center"/>
    </w:pPr>
    <w:rPr>
      <w:kern w:val="0"/>
      <w:sz w:val="20"/>
      <w:u w:val="single"/>
      <w:lang w:eastAsia="en-US"/>
    </w:rPr>
  </w:style>
  <w:style w:type="paragraph" w:styleId="34">
    <w:name w:val="footnote text"/>
    <w:basedOn w:val="1"/>
    <w:link w:val="224"/>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76"/>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72"/>
    <w:qFormat/>
    <w:uiPriority w:val="0"/>
    <w:rPr>
      <w:i/>
      <w:iCs/>
      <w:sz w:val="26"/>
    </w:rPr>
  </w:style>
  <w:style w:type="paragraph" w:styleId="40">
    <w:name w:val="HTML Preformatted"/>
    <w:basedOn w:val="1"/>
    <w:link w:val="17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9"/>
    <w:qFormat/>
    <w:uiPriority w:val="0"/>
    <w:pPr>
      <w:widowControl/>
      <w:jc w:val="center"/>
    </w:pPr>
    <w:rPr>
      <w:kern w:val="0"/>
      <w:sz w:val="20"/>
      <w:u w:val="single"/>
      <w:lang w:eastAsia="en-US"/>
    </w:rPr>
  </w:style>
  <w:style w:type="paragraph" w:styleId="44">
    <w:name w:val="annotation subject"/>
    <w:basedOn w:val="16"/>
    <w:next w:val="16"/>
    <w:link w:val="271"/>
    <w:qFormat/>
    <w:uiPriority w:val="0"/>
    <w:rPr>
      <w:b/>
      <w:bCs/>
    </w:rPr>
  </w:style>
  <w:style w:type="paragraph" w:styleId="45">
    <w:name w:val="Body Text First Indent"/>
    <w:basedOn w:val="2"/>
    <w:next w:val="1"/>
    <w:qFormat/>
    <w:uiPriority w:val="0"/>
    <w:pPr>
      <w:spacing w:after="0" w:line="480" w:lineRule="atLeast"/>
      <w:ind w:firstLine="420" w:firstLineChars="100"/>
    </w:pPr>
    <w:rPr>
      <w:rFonts w:ascii="Arial" w:hAnsi="Arial"/>
      <w:color w:val="000000"/>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TML Definition"/>
    <w:basedOn w:val="48"/>
    <w:qFormat/>
    <w:uiPriority w:val="0"/>
  </w:style>
  <w:style w:type="character" w:styleId="55">
    <w:name w:val="HTML Typewriter"/>
    <w:basedOn w:val="48"/>
    <w:qFormat/>
    <w:uiPriority w:val="0"/>
    <w:rPr>
      <w:rFonts w:hint="default" w:ascii="monospace" w:hAnsi="monospace" w:eastAsia="monospace" w:cs="monospace"/>
      <w:sz w:val="20"/>
    </w:rPr>
  </w:style>
  <w:style w:type="character" w:styleId="56">
    <w:name w:val="HTML Acronym"/>
    <w:basedOn w:val="48"/>
    <w:qFormat/>
    <w:uiPriority w:val="0"/>
  </w:style>
  <w:style w:type="character" w:styleId="57">
    <w:name w:val="HTML Variable"/>
    <w:basedOn w:val="48"/>
    <w:qFormat/>
    <w:uiPriority w:val="0"/>
  </w:style>
  <w:style w:type="character" w:styleId="58">
    <w:name w:val="Hyperlink"/>
    <w:qFormat/>
    <w:uiPriority w:val="99"/>
    <w:rPr>
      <w:color w:val="0000FF"/>
      <w:u w:val="single"/>
    </w:rPr>
  </w:style>
  <w:style w:type="character" w:styleId="59">
    <w:name w:val="HTML Code"/>
    <w:basedOn w:val="48"/>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basedOn w:val="48"/>
    <w:qFormat/>
    <w:uiPriority w:val="0"/>
  </w:style>
  <w:style w:type="character" w:styleId="62">
    <w:name w:val="footnote reference"/>
    <w:qFormat/>
    <w:uiPriority w:val="0"/>
    <w:rPr>
      <w:vertAlign w:val="superscript"/>
    </w:rPr>
  </w:style>
  <w:style w:type="character" w:styleId="63">
    <w:name w:val="HTML Keyboard"/>
    <w:basedOn w:val="48"/>
    <w:uiPriority w:val="0"/>
    <w:rPr>
      <w:rFonts w:ascii="monospace" w:hAnsi="monospace" w:eastAsia="monospace" w:cs="monospace"/>
      <w:sz w:val="20"/>
    </w:rPr>
  </w:style>
  <w:style w:type="character" w:styleId="64">
    <w:name w:val="HTML Sample"/>
    <w:basedOn w:val="48"/>
    <w:qFormat/>
    <w:uiPriority w:val="0"/>
    <w:rPr>
      <w:rFonts w:hint="default" w:ascii="monospace" w:hAnsi="monospace" w:eastAsia="monospace" w:cs="monospace"/>
    </w:rPr>
  </w:style>
  <w:style w:type="paragraph" w:customStyle="1" w:styleId="65">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66">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67">
    <w:name w:val="_Style 101"/>
    <w:basedOn w:val="1"/>
    <w:qFormat/>
    <w:uiPriority w:val="99"/>
    <w:pPr>
      <w:ind w:firstLine="420" w:firstLineChars="200"/>
    </w:pPr>
    <w:rPr>
      <w:sz w:val="28"/>
      <w:szCs w:val="28"/>
    </w:rPr>
  </w:style>
  <w:style w:type="paragraph" w:customStyle="1" w:styleId="68">
    <w:name w:val="表格标题"/>
    <w:basedOn w:val="69"/>
    <w:qFormat/>
    <w:uiPriority w:val="0"/>
  </w:style>
  <w:style w:type="paragraph" w:customStyle="1" w:styleId="69">
    <w:name w:val="表格内容"/>
    <w:basedOn w:val="1"/>
    <w:qFormat/>
    <w:uiPriority w:val="0"/>
    <w:pPr>
      <w:suppressLineNumbers/>
      <w:suppressAutoHyphens/>
    </w:pPr>
  </w:style>
  <w:style w:type="paragraph" w:customStyle="1" w:styleId="7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71">
    <w:name w:val="修订1"/>
    <w:qFormat/>
    <w:uiPriority w:val="0"/>
    <w:rPr>
      <w:rFonts w:ascii="Times New Roman" w:hAnsi="Times New Roman" w:eastAsia="宋体" w:cs="Times New Roman"/>
      <w:kern w:val="2"/>
      <w:sz w:val="21"/>
      <w:szCs w:val="24"/>
      <w:lang w:val="en-US" w:eastAsia="zh-CN" w:bidi="ar-SA"/>
    </w:rPr>
  </w:style>
  <w:style w:type="paragraph" w:customStyle="1" w:styleId="72">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73">
    <w:name w:val="标准样式1"/>
    <w:basedOn w:val="1"/>
    <w:qFormat/>
    <w:uiPriority w:val="0"/>
    <w:pPr>
      <w:spacing w:line="600" w:lineRule="exact"/>
      <w:ind w:firstLine="567"/>
    </w:pPr>
    <w:rPr>
      <w:rFonts w:ascii="Calibri" w:hAnsi="Calibri"/>
      <w:sz w:val="28"/>
    </w:rPr>
  </w:style>
  <w:style w:type="paragraph" w:customStyle="1" w:styleId="74">
    <w:name w:val="列出段落11"/>
    <w:basedOn w:val="1"/>
    <w:qFormat/>
    <w:uiPriority w:val="0"/>
    <w:pPr>
      <w:ind w:firstLine="420" w:firstLineChars="200"/>
    </w:pPr>
    <w:rPr>
      <w:sz w:val="28"/>
      <w:szCs w:val="28"/>
    </w:rPr>
  </w:style>
  <w:style w:type="paragraph" w:customStyle="1" w:styleId="7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76">
    <w:name w:val="WW-表格标题"/>
    <w:basedOn w:val="77"/>
    <w:qFormat/>
    <w:uiPriority w:val="0"/>
  </w:style>
  <w:style w:type="paragraph" w:customStyle="1" w:styleId="77">
    <w:name w:val="WW-表格内容"/>
    <w:basedOn w:val="1"/>
    <w:qFormat/>
    <w:uiPriority w:val="0"/>
    <w:pPr>
      <w:suppressLineNumbers/>
      <w:suppressAutoHyphens/>
    </w:pPr>
  </w:style>
  <w:style w:type="paragraph" w:customStyle="1" w:styleId="78">
    <w:name w:val="引用2"/>
    <w:basedOn w:val="1"/>
    <w:next w:val="1"/>
    <w:link w:val="308"/>
    <w:qFormat/>
    <w:uiPriority w:val="0"/>
    <w:rPr>
      <w:i/>
      <w:iCs/>
      <w:color w:val="000000"/>
    </w:rPr>
  </w:style>
  <w:style w:type="paragraph" w:customStyle="1" w:styleId="79">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8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1">
    <w:name w:val="Char Char Char Char"/>
    <w:basedOn w:val="15"/>
    <w:qFormat/>
    <w:uiPriority w:val="0"/>
    <w:pPr>
      <w:spacing w:line="360" w:lineRule="auto"/>
      <w:ind w:firstLine="200" w:firstLineChars="200"/>
    </w:pPr>
    <w:rPr>
      <w:rFonts w:ascii="Tahoma" w:hAnsi="Tahoma"/>
      <w:sz w:val="24"/>
    </w:rPr>
  </w:style>
  <w:style w:type="paragraph" w:customStyle="1" w:styleId="82">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3">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84">
    <w:name w:val="p16"/>
    <w:basedOn w:val="1"/>
    <w:qFormat/>
    <w:uiPriority w:val="0"/>
    <w:pPr>
      <w:widowControl/>
    </w:pPr>
    <w:rPr>
      <w:rFonts w:ascii="Calibri" w:hAnsi="Calibri" w:cs="宋体"/>
      <w:kern w:val="0"/>
      <w:szCs w:val="21"/>
    </w:rPr>
  </w:style>
  <w:style w:type="paragraph" w:customStyle="1" w:styleId="85">
    <w:name w:val="列出段落1"/>
    <w:basedOn w:val="1"/>
    <w:qFormat/>
    <w:uiPriority w:val="0"/>
    <w:pPr>
      <w:ind w:firstLine="420" w:firstLineChars="200"/>
    </w:pPr>
    <w:rPr>
      <w:sz w:val="28"/>
      <w:szCs w:val="28"/>
    </w:rPr>
  </w:style>
  <w:style w:type="paragraph" w:customStyle="1" w:styleId="86">
    <w:name w:val="样式1"/>
    <w:basedOn w:val="1"/>
    <w:next w:val="6"/>
    <w:qFormat/>
    <w:uiPriority w:val="0"/>
    <w:pPr>
      <w:spacing w:line="360" w:lineRule="auto"/>
      <w:ind w:firstLine="420" w:firstLineChars="200"/>
    </w:pPr>
    <w:rPr>
      <w:rFonts w:ascii="宋体" w:hAnsi="宋体"/>
      <w:szCs w:val="21"/>
    </w:rPr>
  </w:style>
  <w:style w:type="paragraph" w:customStyle="1" w:styleId="87">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88">
    <w:name w:val="Char9 Char Char Char Char Char Char"/>
    <w:basedOn w:val="15"/>
    <w:qFormat/>
    <w:uiPriority w:val="0"/>
    <w:pPr>
      <w:spacing w:line="360" w:lineRule="auto"/>
      <w:ind w:firstLine="200" w:firstLineChars="200"/>
    </w:pPr>
    <w:rPr>
      <w:rFonts w:ascii="Tahoma" w:hAnsi="Tahoma"/>
      <w:sz w:val="24"/>
    </w:rPr>
  </w:style>
  <w:style w:type="paragraph" w:customStyle="1" w:styleId="8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90">
    <w:name w:val="引用1"/>
    <w:basedOn w:val="1"/>
    <w:next w:val="1"/>
    <w:link w:val="158"/>
    <w:qFormat/>
    <w:uiPriority w:val="29"/>
    <w:rPr>
      <w:i/>
      <w:iCs/>
      <w:color w:val="000000"/>
      <w:szCs w:val="20"/>
    </w:rPr>
  </w:style>
  <w:style w:type="paragraph" w:customStyle="1" w:styleId="91">
    <w:name w:val="表格文字"/>
    <w:basedOn w:val="1"/>
    <w:qFormat/>
    <w:uiPriority w:val="0"/>
    <w:pPr>
      <w:adjustRightInd w:val="0"/>
      <w:spacing w:line="420" w:lineRule="atLeast"/>
      <w:jc w:val="left"/>
      <w:textAlignment w:val="baseline"/>
    </w:pPr>
    <w:rPr>
      <w:kern w:val="0"/>
      <w:szCs w:val="20"/>
    </w:rPr>
  </w:style>
  <w:style w:type="paragraph" w:customStyle="1" w:styleId="92">
    <w:name w:val="_Style 96"/>
    <w:semiHidden/>
    <w:qFormat/>
    <w:uiPriority w:val="99"/>
    <w:rPr>
      <w:rFonts w:ascii="Calibri" w:hAnsi="Calibri" w:eastAsia="宋体" w:cs="Times New Roman"/>
      <w:kern w:val="2"/>
      <w:sz w:val="21"/>
      <w:szCs w:val="24"/>
      <w:lang w:val="en-US" w:eastAsia="zh-CN" w:bidi="ar-SA"/>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94">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5">
    <w:name w:val="正  文"/>
    <w:basedOn w:val="1"/>
    <w:qFormat/>
    <w:uiPriority w:val="0"/>
    <w:pPr>
      <w:spacing w:line="360" w:lineRule="auto"/>
      <w:ind w:firstLine="200" w:firstLineChars="200"/>
    </w:pPr>
    <w:rPr>
      <w:rFonts w:ascii="宋体" w:hAnsi="Calibri"/>
      <w:sz w:val="24"/>
    </w:rPr>
  </w:style>
  <w:style w:type="paragraph" w:customStyle="1" w:styleId="96">
    <w:name w:val="标题4"/>
    <w:basedOn w:val="4"/>
    <w:next w:val="20"/>
    <w:link w:val="251"/>
    <w:qFormat/>
    <w:uiPriority w:val="0"/>
    <w:pPr>
      <w:spacing w:line="413" w:lineRule="auto"/>
    </w:pPr>
    <w:rPr>
      <w:rFonts w:ascii="Arial" w:hAnsi="Arial"/>
      <w:kern w:val="0"/>
      <w:sz w:val="24"/>
    </w:rPr>
  </w:style>
  <w:style w:type="paragraph" w:customStyle="1" w:styleId="9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1">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02">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4">
    <w:name w:val="1 Char"/>
    <w:basedOn w:val="1"/>
    <w:qFormat/>
    <w:uiPriority w:val="0"/>
    <w:pPr>
      <w:widowControl/>
      <w:spacing w:after="160" w:line="240" w:lineRule="exact"/>
      <w:jc w:val="left"/>
    </w:pPr>
    <w:rPr>
      <w:rFonts w:ascii="Calibri" w:hAnsi="Calibri"/>
      <w:szCs w:val="20"/>
    </w:rPr>
  </w:style>
  <w:style w:type="paragraph" w:customStyle="1" w:styleId="10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06">
    <w:name w:val="pa-34"/>
    <w:basedOn w:val="1"/>
    <w:qFormat/>
    <w:uiPriority w:val="0"/>
    <w:pPr>
      <w:widowControl/>
      <w:spacing w:line="360" w:lineRule="atLeast"/>
      <w:ind w:firstLine="420"/>
      <w:jc w:val="left"/>
    </w:pPr>
    <w:rPr>
      <w:rFonts w:ascii="宋体" w:hAnsi="宋体" w:cs="宋体"/>
      <w:kern w:val="0"/>
      <w:sz w:val="24"/>
    </w:rPr>
  </w:style>
  <w:style w:type="paragraph" w:customStyle="1" w:styleId="10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8">
    <w:name w:val="p15"/>
    <w:basedOn w:val="1"/>
    <w:qFormat/>
    <w:uiPriority w:val="0"/>
    <w:pPr>
      <w:widowControl/>
      <w:spacing w:after="120"/>
    </w:pPr>
    <w:rPr>
      <w:kern w:val="0"/>
      <w:szCs w:val="21"/>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11">
    <w:name w:val="_Style 124"/>
    <w:basedOn w:val="1"/>
    <w:next w:val="1"/>
    <w:link w:val="205"/>
    <w:qFormat/>
    <w:uiPriority w:val="0"/>
    <w:rPr>
      <w:i/>
      <w:iCs/>
      <w:color w:val="000000"/>
      <w:szCs w:val="22"/>
    </w:rPr>
  </w:style>
  <w:style w:type="paragraph" w:customStyle="1" w:styleId="11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1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16">
    <w:name w:val="pa-27"/>
    <w:basedOn w:val="1"/>
    <w:qFormat/>
    <w:uiPriority w:val="0"/>
    <w:pPr>
      <w:widowControl/>
      <w:spacing w:line="360" w:lineRule="atLeast"/>
      <w:ind w:firstLine="420"/>
    </w:pPr>
    <w:rPr>
      <w:rFonts w:ascii="宋体" w:hAnsi="宋体" w:cs="宋体"/>
      <w:kern w:val="0"/>
      <w:sz w:val="24"/>
    </w:rPr>
  </w:style>
  <w:style w:type="paragraph" w:customStyle="1" w:styleId="117">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9">
    <w:name w:val="表格"/>
    <w:basedOn w:val="1"/>
    <w:qFormat/>
    <w:uiPriority w:val="0"/>
    <w:pPr>
      <w:jc w:val="center"/>
      <w:textAlignment w:val="center"/>
    </w:pPr>
    <w:rPr>
      <w:rFonts w:ascii="华文细黑" w:hAnsi="华文细黑"/>
      <w:kern w:val="0"/>
      <w:szCs w:val="20"/>
    </w:rPr>
  </w:style>
  <w:style w:type="paragraph" w:customStyle="1" w:styleId="120">
    <w:name w:val="明显引用1"/>
    <w:basedOn w:val="1"/>
    <w:next w:val="1"/>
    <w:link w:val="306"/>
    <w:qFormat/>
    <w:uiPriority w:val="30"/>
    <w:pPr>
      <w:pBdr>
        <w:bottom w:val="single" w:color="4F81BD" w:sz="4" w:space="4"/>
      </w:pBdr>
      <w:spacing w:before="200" w:after="280"/>
      <w:ind w:left="936" w:right="936"/>
    </w:pPr>
    <w:rPr>
      <w:b/>
      <w:bCs/>
      <w:i/>
      <w:iCs/>
      <w:color w:val="4F81BD"/>
      <w:szCs w:val="20"/>
    </w:rPr>
  </w:style>
  <w:style w:type="paragraph" w:customStyle="1" w:styleId="12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22">
    <w:name w:val="TOC 标题2"/>
    <w:basedOn w:val="3"/>
    <w:next w:val="1"/>
    <w:unhideWhenUsed/>
    <w:qFormat/>
    <w:uiPriority w:val="0"/>
    <w:pPr>
      <w:outlineLvl w:val="9"/>
    </w:pPr>
    <w:rPr>
      <w:rFonts w:ascii="Calibri" w:hAnsi="Calibri"/>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标题5"/>
    <w:basedOn w:val="5"/>
    <w:link w:val="173"/>
    <w:qFormat/>
    <w:uiPriority w:val="0"/>
    <w:pPr>
      <w:spacing w:line="413" w:lineRule="auto"/>
    </w:pPr>
    <w:rPr>
      <w:rFonts w:ascii="Arial" w:hAnsi="Arial"/>
      <w:kern w:val="0"/>
      <w:sz w:val="24"/>
    </w:rPr>
  </w:style>
  <w:style w:type="paragraph" w:customStyle="1" w:styleId="12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27">
    <w:name w:val="_Style 64"/>
    <w:basedOn w:val="1"/>
    <w:next w:val="1"/>
    <w:link w:val="305"/>
    <w:qFormat/>
    <w:uiPriority w:val="0"/>
    <w:pPr>
      <w:pBdr>
        <w:bottom w:val="single" w:color="4F81BD" w:sz="4" w:space="4"/>
      </w:pBdr>
      <w:spacing w:before="200" w:after="280"/>
      <w:ind w:left="936" w:right="936"/>
    </w:pPr>
    <w:rPr>
      <w:b/>
      <w:bCs/>
      <w:i/>
      <w:iCs/>
      <w:color w:val="4F81BD"/>
      <w:szCs w:val="22"/>
    </w:rPr>
  </w:style>
  <w:style w:type="paragraph" w:customStyle="1" w:styleId="128">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9">
    <w:name w:val="Char2"/>
    <w:basedOn w:val="1"/>
    <w:qFormat/>
    <w:uiPriority w:val="0"/>
    <w:rPr>
      <w:rFonts w:ascii="Calibri" w:hAnsi="Calibri"/>
    </w:rPr>
  </w:style>
  <w:style w:type="paragraph" w:customStyle="1" w:styleId="130">
    <w:name w:val="_Style 87"/>
    <w:basedOn w:val="1"/>
    <w:qFormat/>
    <w:uiPriority w:val="99"/>
    <w:pPr>
      <w:ind w:firstLine="420" w:firstLineChars="200"/>
    </w:pPr>
    <w:rPr>
      <w:rFonts w:ascii="Calibri" w:hAnsi="Calibri"/>
      <w:sz w:val="28"/>
      <w:szCs w:val="28"/>
    </w:rPr>
  </w:style>
  <w:style w:type="paragraph" w:customStyle="1" w:styleId="131">
    <w:name w:val="自定样式1"/>
    <w:basedOn w:val="1"/>
    <w:qFormat/>
    <w:uiPriority w:val="0"/>
    <w:pPr>
      <w:suppressAutoHyphens/>
      <w:jc w:val="center"/>
    </w:pPr>
    <w:rPr>
      <w:rFonts w:ascii="宋体" w:hAnsi="宋体"/>
      <w:color w:val="000000"/>
      <w:sz w:val="18"/>
    </w:rPr>
  </w:style>
  <w:style w:type="paragraph" w:customStyle="1" w:styleId="132">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Char"/>
    <w:basedOn w:val="1"/>
    <w:qFormat/>
    <w:uiPriority w:val="0"/>
  </w:style>
  <w:style w:type="paragraph" w:customStyle="1" w:styleId="134">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
    <w:name w:val="列表段落1"/>
    <w:basedOn w:val="1"/>
    <w:qFormat/>
    <w:uiPriority w:val="34"/>
    <w:pPr>
      <w:ind w:firstLine="420" w:firstLineChars="200"/>
    </w:pPr>
    <w:rPr>
      <w:rFonts w:ascii="Calibri" w:hAnsi="Calibri"/>
    </w:rPr>
  </w:style>
  <w:style w:type="paragraph" w:customStyle="1" w:styleId="136">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7">
    <w:name w:val="表体"/>
    <w:basedOn w:val="1"/>
    <w:next w:val="1"/>
    <w:qFormat/>
    <w:uiPriority w:val="0"/>
    <w:pPr>
      <w:spacing w:line="0" w:lineRule="atLeast"/>
    </w:pPr>
    <w:rPr>
      <w:rFonts w:ascii="Calibri" w:hAnsi="Calibri"/>
      <w:b/>
      <w:snapToGrid w:val="0"/>
      <w:szCs w:val="20"/>
    </w:rPr>
  </w:style>
  <w:style w:type="paragraph" w:customStyle="1" w:styleId="138">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40">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41">
    <w:name w:val="Char11"/>
    <w:basedOn w:val="1"/>
    <w:qFormat/>
    <w:uiPriority w:val="0"/>
  </w:style>
  <w:style w:type="paragraph" w:customStyle="1" w:styleId="142">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43">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44">
    <w:name w:val="_Style 86"/>
    <w:qFormat/>
    <w:uiPriority w:val="0"/>
    <w:rPr>
      <w:rFonts w:ascii="Times New Roman" w:hAnsi="Times New Roman" w:eastAsia="宋体" w:cs="Times New Roman"/>
      <w:kern w:val="2"/>
      <w:sz w:val="21"/>
      <w:szCs w:val="24"/>
      <w:lang w:val="en-US" w:eastAsia="zh-CN" w:bidi="ar-SA"/>
    </w:rPr>
  </w:style>
  <w:style w:type="paragraph" w:customStyle="1" w:styleId="145">
    <w:name w:val="Char1"/>
    <w:basedOn w:val="1"/>
    <w:qFormat/>
    <w:uiPriority w:val="0"/>
  </w:style>
  <w:style w:type="paragraph" w:customStyle="1" w:styleId="14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正文文本 Char2"/>
    <w:qFormat/>
    <w:uiPriority w:val="99"/>
    <w:rPr>
      <w:kern w:val="2"/>
      <w:sz w:val="21"/>
      <w:szCs w:val="24"/>
    </w:rPr>
  </w:style>
  <w:style w:type="character" w:customStyle="1" w:styleId="151">
    <w:name w:val="尾注文本 Char1"/>
    <w:qFormat/>
    <w:uiPriority w:val="0"/>
    <w:rPr>
      <w:rFonts w:ascii="Arial" w:hAnsi="Arial" w:cs="Arial"/>
      <w:szCs w:val="24"/>
      <w:lang w:eastAsia="en-US"/>
    </w:rPr>
  </w:style>
  <w:style w:type="character" w:customStyle="1" w:styleId="152">
    <w:name w:val="脚注文本 Char"/>
    <w:qFormat/>
    <w:uiPriority w:val="0"/>
    <w:rPr>
      <w:rFonts w:ascii="Arial" w:hAnsi="Arial" w:eastAsia="宋体" w:cs="Arial"/>
      <w:sz w:val="18"/>
      <w:szCs w:val="18"/>
      <w:lang w:eastAsia="en-US"/>
    </w:rPr>
  </w:style>
  <w:style w:type="character" w:customStyle="1" w:styleId="153">
    <w:name w:val="Char Char17"/>
    <w:qFormat/>
    <w:uiPriority w:val="0"/>
    <w:rPr>
      <w:kern w:val="2"/>
      <w:sz w:val="26"/>
      <w:szCs w:val="24"/>
    </w:rPr>
  </w:style>
  <w:style w:type="character" w:customStyle="1" w:styleId="154">
    <w:name w:val="副标题 Char1"/>
    <w:qFormat/>
    <w:uiPriority w:val="0"/>
    <w:rPr>
      <w:szCs w:val="24"/>
      <w:u w:val="single"/>
      <w:lang w:eastAsia="en-US"/>
    </w:rPr>
  </w:style>
  <w:style w:type="character" w:customStyle="1" w:styleId="155">
    <w:name w:val="标题 Char1"/>
    <w:qFormat/>
    <w:uiPriority w:val="10"/>
    <w:rPr>
      <w:szCs w:val="24"/>
      <w:u w:val="single"/>
      <w:lang w:eastAsia="en-US"/>
    </w:rPr>
  </w:style>
  <w:style w:type="character" w:customStyle="1" w:styleId="156">
    <w:name w:val="Char Char24"/>
    <w:qFormat/>
    <w:uiPriority w:val="0"/>
    <w:rPr>
      <w:b/>
      <w:bCs/>
      <w:kern w:val="44"/>
      <w:sz w:val="44"/>
      <w:szCs w:val="44"/>
    </w:rPr>
  </w:style>
  <w:style w:type="character" w:customStyle="1" w:styleId="157">
    <w:name w:val="批注主题 Char"/>
    <w:qFormat/>
    <w:uiPriority w:val="0"/>
    <w:rPr>
      <w:rFonts w:ascii="宋体" w:hAnsi="宋体" w:eastAsia="宋体"/>
      <w:kern w:val="2"/>
      <w:sz w:val="24"/>
      <w:szCs w:val="28"/>
      <w:lang w:val="en-US" w:eastAsia="zh-CN" w:bidi="ar-SA"/>
    </w:rPr>
  </w:style>
  <w:style w:type="character" w:customStyle="1" w:styleId="158">
    <w:name w:val="引用 Char1"/>
    <w:link w:val="90"/>
    <w:qFormat/>
    <w:uiPriority w:val="29"/>
    <w:rPr>
      <w:i/>
      <w:iCs/>
      <w:color w:val="000000"/>
      <w:kern w:val="2"/>
      <w:sz w:val="21"/>
    </w:rPr>
  </w:style>
  <w:style w:type="character" w:customStyle="1" w:styleId="159">
    <w:name w:val="Char Char23"/>
    <w:qFormat/>
    <w:uiPriority w:val="0"/>
    <w:rPr>
      <w:rFonts w:ascii="Cambria" w:hAnsi="Cambria" w:eastAsia="宋体" w:cs="Times New Roman"/>
      <w:b/>
      <w:bCs/>
      <w:kern w:val="2"/>
      <w:sz w:val="32"/>
      <w:szCs w:val="32"/>
    </w:rPr>
  </w:style>
  <w:style w:type="character" w:customStyle="1" w:styleId="160">
    <w:name w:val="ITTHEADER2 Char"/>
    <w:qFormat/>
    <w:uiPriority w:val="0"/>
    <w:rPr>
      <w:rFonts w:ascii="仿宋_GB2312" w:eastAsia="仿宋_GB2312" w:cs="MingLiU"/>
      <w:b/>
      <w:spacing w:val="1"/>
      <w:w w:val="99"/>
      <w:sz w:val="28"/>
      <w:szCs w:val="32"/>
      <w:lang w:val="en-US" w:eastAsia="zh-CN" w:bidi="ar-SA"/>
    </w:rPr>
  </w:style>
  <w:style w:type="character" w:customStyle="1" w:styleId="161">
    <w:name w:val="标题 9 Char1"/>
    <w:qFormat/>
    <w:uiPriority w:val="0"/>
    <w:rPr>
      <w:rFonts w:ascii="Times New Roman" w:hAnsi="Times New Roman" w:eastAsia="仿宋_GB2312" w:cs="Times New Roman"/>
      <w:sz w:val="30"/>
      <w:szCs w:val="20"/>
    </w:rPr>
  </w:style>
  <w:style w:type="character" w:customStyle="1" w:styleId="162">
    <w:name w:val="正文文本 Char1"/>
    <w:qFormat/>
    <w:uiPriority w:val="0"/>
    <w:rPr>
      <w:kern w:val="2"/>
      <w:sz w:val="21"/>
      <w:szCs w:val="22"/>
    </w:rPr>
  </w:style>
  <w:style w:type="character" w:customStyle="1" w:styleId="163">
    <w:name w:val="引用 Char2"/>
    <w:qFormat/>
    <w:uiPriority w:val="99"/>
    <w:rPr>
      <w:i/>
      <w:iCs/>
      <w:color w:val="000000"/>
      <w:kern w:val="2"/>
      <w:sz w:val="21"/>
      <w:szCs w:val="24"/>
    </w:rPr>
  </w:style>
  <w:style w:type="character" w:customStyle="1" w:styleId="164">
    <w:name w:val="正文文本 Char3"/>
    <w:semiHidden/>
    <w:qFormat/>
    <w:uiPriority w:val="99"/>
    <w:rPr>
      <w:rFonts w:ascii="Calibri" w:hAnsi="Calibri" w:eastAsia="宋体" w:cs="Times New Roman"/>
      <w:szCs w:val="24"/>
    </w:rPr>
  </w:style>
  <w:style w:type="character" w:customStyle="1" w:styleId="165">
    <w:name w:val="日期 Char4"/>
    <w:link w:val="25"/>
    <w:qFormat/>
    <w:uiPriority w:val="0"/>
    <w:rPr>
      <w:rFonts w:eastAsia="宋体"/>
      <w:kern w:val="2"/>
      <w:sz w:val="21"/>
      <w:szCs w:val="24"/>
      <w:lang w:val="en-US" w:eastAsia="zh-CN" w:bidi="ar-SA"/>
    </w:rPr>
  </w:style>
  <w:style w:type="character" w:customStyle="1" w:styleId="166">
    <w:name w:val="标题 2 Char"/>
    <w:qFormat/>
    <w:uiPriority w:val="0"/>
    <w:rPr>
      <w:rFonts w:ascii="仿宋_GB2312" w:hAnsi="Calibri" w:eastAsia="仿宋_GB2312" w:cs="Times New Roman"/>
      <w:b/>
      <w:spacing w:val="1"/>
      <w:w w:val="99"/>
      <w:kern w:val="0"/>
      <w:sz w:val="28"/>
      <w:szCs w:val="32"/>
    </w:rPr>
  </w:style>
  <w:style w:type="character" w:customStyle="1" w:styleId="167">
    <w:name w:val="标题 7 Char"/>
    <w:qFormat/>
    <w:uiPriority w:val="0"/>
    <w:rPr>
      <w:rFonts w:ascii="Calibri" w:hAnsi="Calibri" w:eastAsia="宋体" w:cs="Times New Roman"/>
      <w:b/>
      <w:bCs/>
      <w:sz w:val="24"/>
      <w:szCs w:val="24"/>
    </w:rPr>
  </w:style>
  <w:style w:type="character" w:customStyle="1" w:styleId="168">
    <w:name w:val="批注框文本 Char1"/>
    <w:qFormat/>
    <w:uiPriority w:val="0"/>
    <w:rPr>
      <w:kern w:val="2"/>
      <w:sz w:val="18"/>
      <w:szCs w:val="18"/>
    </w:rPr>
  </w:style>
  <w:style w:type="character" w:customStyle="1" w:styleId="169">
    <w:name w:val="日期 Char1"/>
    <w:qFormat/>
    <w:uiPriority w:val="0"/>
    <w:rPr>
      <w:kern w:val="2"/>
      <w:sz w:val="21"/>
      <w:szCs w:val="22"/>
    </w:rPr>
  </w:style>
  <w:style w:type="character" w:customStyle="1" w:styleId="170">
    <w:name w:val="_Style 171"/>
    <w:qFormat/>
    <w:uiPriority w:val="0"/>
    <w:rPr>
      <w:b/>
      <w:bCs/>
      <w:i/>
      <w:iCs/>
      <w:color w:val="4F81BD"/>
    </w:rPr>
  </w:style>
  <w:style w:type="character" w:customStyle="1" w:styleId="171">
    <w:name w:val="Char Char22"/>
    <w:qFormat/>
    <w:uiPriority w:val="0"/>
    <w:rPr>
      <w:b/>
      <w:bCs/>
      <w:kern w:val="2"/>
      <w:sz w:val="32"/>
      <w:szCs w:val="32"/>
    </w:rPr>
  </w:style>
  <w:style w:type="character" w:customStyle="1" w:styleId="172">
    <w:name w:val="标题 6 Char1"/>
    <w:qFormat/>
    <w:uiPriority w:val="0"/>
    <w:rPr>
      <w:rFonts w:ascii="Times New Roman" w:hAnsi="Arial" w:eastAsia="仿宋_GB2312" w:cs="Times New Roman"/>
      <w:sz w:val="30"/>
      <w:szCs w:val="20"/>
    </w:rPr>
  </w:style>
  <w:style w:type="character" w:customStyle="1" w:styleId="173">
    <w:name w:val="标题5 Char Char"/>
    <w:link w:val="125"/>
    <w:qFormat/>
    <w:uiPriority w:val="0"/>
    <w:rPr>
      <w:rFonts w:ascii="Arial" w:hAnsi="Arial"/>
      <w:b/>
      <w:bCs/>
      <w:sz w:val="24"/>
      <w:szCs w:val="32"/>
      <w:lang w:bidi="ar-SA"/>
    </w:rPr>
  </w:style>
  <w:style w:type="character" w:customStyle="1" w:styleId="174">
    <w:name w:val="正文文本缩进 Char1"/>
    <w:qFormat/>
    <w:uiPriority w:val="0"/>
    <w:rPr>
      <w:kern w:val="2"/>
      <w:sz w:val="21"/>
      <w:szCs w:val="24"/>
    </w:rPr>
  </w:style>
  <w:style w:type="character" w:customStyle="1" w:styleId="175">
    <w:name w:val="标题 4 Char1"/>
    <w:qFormat/>
    <w:uiPriority w:val="0"/>
    <w:rPr>
      <w:rFonts w:ascii="宋体" w:hAnsi="宋体" w:eastAsia="宋体" w:cs="宋体"/>
      <w:b/>
      <w:bCs/>
      <w:sz w:val="24"/>
      <w:szCs w:val="24"/>
    </w:rPr>
  </w:style>
  <w:style w:type="character" w:customStyle="1" w:styleId="176">
    <w:name w:val="尾注文本 Char"/>
    <w:qFormat/>
    <w:uiPriority w:val="0"/>
    <w:rPr>
      <w:kern w:val="2"/>
      <w:sz w:val="21"/>
      <w:szCs w:val="24"/>
    </w:rPr>
  </w:style>
  <w:style w:type="character" w:customStyle="1" w:styleId="177">
    <w:name w:val="HTML 预设格式 Char3"/>
    <w:link w:val="40"/>
    <w:qFormat/>
    <w:uiPriority w:val="0"/>
    <w:rPr>
      <w:rFonts w:ascii="宋体" w:hAnsi="宋体" w:eastAsia="宋体" w:cs="宋体"/>
      <w:color w:val="000000"/>
      <w:sz w:val="24"/>
      <w:szCs w:val="24"/>
      <w:lang w:val="en-US" w:eastAsia="zh-CN" w:bidi="ar-SA"/>
    </w:rPr>
  </w:style>
  <w:style w:type="character" w:customStyle="1" w:styleId="178">
    <w:name w:val="尾注文本 Char2"/>
    <w:semiHidden/>
    <w:qFormat/>
    <w:uiPriority w:val="99"/>
    <w:rPr>
      <w:rFonts w:ascii="Calibri" w:hAnsi="Calibri" w:eastAsia="宋体" w:cs="Times New Roman"/>
      <w:szCs w:val="24"/>
    </w:rPr>
  </w:style>
  <w:style w:type="character" w:customStyle="1" w:styleId="179">
    <w:name w:val="明显强调1"/>
    <w:qFormat/>
    <w:uiPriority w:val="0"/>
    <w:rPr>
      <w:b/>
      <w:bCs/>
      <w:i/>
      <w:iCs/>
      <w:color w:val="4F81BD"/>
    </w:rPr>
  </w:style>
  <w:style w:type="character" w:customStyle="1" w:styleId="180">
    <w:name w:val="正文文本 Char"/>
    <w:qFormat/>
    <w:uiPriority w:val="0"/>
    <w:rPr>
      <w:sz w:val="26"/>
      <w:szCs w:val="24"/>
    </w:rPr>
  </w:style>
  <w:style w:type="character" w:customStyle="1" w:styleId="181">
    <w:name w:val="脚注文本 Char2"/>
    <w:semiHidden/>
    <w:qFormat/>
    <w:uiPriority w:val="99"/>
    <w:rPr>
      <w:rFonts w:ascii="Calibri" w:hAnsi="Calibri" w:eastAsia="宋体" w:cs="Times New Roman"/>
      <w:sz w:val="18"/>
      <w:szCs w:val="18"/>
    </w:rPr>
  </w:style>
  <w:style w:type="character" w:customStyle="1" w:styleId="182">
    <w:name w:val="正文文本 2 Char1"/>
    <w:semiHidden/>
    <w:qFormat/>
    <w:uiPriority w:val="99"/>
    <w:rPr>
      <w:rFonts w:ascii="Calibri" w:hAnsi="Calibri" w:eastAsia="宋体" w:cs="Times New Roman"/>
      <w:szCs w:val="24"/>
    </w:rPr>
  </w:style>
  <w:style w:type="character" w:customStyle="1" w:styleId="183">
    <w:name w:val="_Style 248"/>
    <w:qFormat/>
    <w:uiPriority w:val="0"/>
    <w:rPr>
      <w:b/>
      <w:bCs/>
      <w:smallCaps/>
      <w:spacing w:val="5"/>
    </w:rPr>
  </w:style>
  <w:style w:type="character" w:customStyle="1" w:styleId="184">
    <w:name w:val="明显引用 Char3"/>
    <w:qFormat/>
    <w:uiPriority w:val="30"/>
    <w:rPr>
      <w:rFonts w:ascii="Calibri" w:hAnsi="Calibri" w:eastAsia="宋体" w:cs="Times New Roman"/>
      <w:b/>
      <w:bCs/>
      <w:i/>
      <w:iCs/>
      <w:color w:val="4F81BD"/>
      <w:szCs w:val="24"/>
    </w:rPr>
  </w:style>
  <w:style w:type="character" w:customStyle="1" w:styleId="185">
    <w:name w:val="_Style 254"/>
    <w:qFormat/>
    <w:uiPriority w:val="0"/>
    <w:rPr>
      <w:b/>
      <w:bCs/>
      <w:smallCaps/>
      <w:color w:val="C0504D"/>
      <w:spacing w:val="5"/>
      <w:u w:val="single"/>
    </w:rPr>
  </w:style>
  <w:style w:type="character" w:customStyle="1" w:styleId="186">
    <w:name w:val="正文文本缩进 Char2"/>
    <w:semiHidden/>
    <w:qFormat/>
    <w:uiPriority w:val="99"/>
    <w:rPr>
      <w:rFonts w:ascii="Calibri" w:hAnsi="Calibri" w:eastAsia="宋体" w:cs="Times New Roman"/>
      <w:szCs w:val="24"/>
    </w:rPr>
  </w:style>
  <w:style w:type="character" w:customStyle="1" w:styleId="187">
    <w:name w:val="标题 4 Char2"/>
    <w:link w:val="6"/>
    <w:qFormat/>
    <w:uiPriority w:val="0"/>
    <w:rPr>
      <w:rFonts w:ascii="宋体" w:hAnsi="宋体" w:eastAsia="宋体" w:cs="宋体"/>
      <w:b/>
      <w:bCs/>
      <w:sz w:val="24"/>
      <w:szCs w:val="24"/>
      <w:lang w:val="en-US" w:eastAsia="zh-CN" w:bidi="ar-SA"/>
    </w:rPr>
  </w:style>
  <w:style w:type="character" w:customStyle="1" w:styleId="188">
    <w:name w:val="正文文本缩进 3 Char"/>
    <w:qFormat/>
    <w:uiPriority w:val="0"/>
    <w:rPr>
      <w:kern w:val="2"/>
      <w:sz w:val="16"/>
      <w:szCs w:val="16"/>
    </w:rPr>
  </w:style>
  <w:style w:type="character" w:customStyle="1" w:styleId="189">
    <w:name w:val="尾注文本 Char3"/>
    <w:link w:val="27"/>
    <w:qFormat/>
    <w:uiPriority w:val="0"/>
    <w:rPr>
      <w:rFonts w:ascii="Arial" w:hAnsi="Arial" w:eastAsia="宋体" w:cs="Arial"/>
      <w:szCs w:val="24"/>
      <w:lang w:val="en-US" w:eastAsia="en-US" w:bidi="ar-SA"/>
    </w:rPr>
  </w:style>
  <w:style w:type="character" w:customStyle="1" w:styleId="190">
    <w:name w:val="引用 Char3"/>
    <w:qFormat/>
    <w:uiPriority w:val="29"/>
    <w:rPr>
      <w:rFonts w:ascii="Calibri" w:hAnsi="Calibri" w:eastAsia="宋体" w:cs="Times New Roman"/>
      <w:i/>
      <w:iCs/>
      <w:color w:val="000000"/>
      <w:szCs w:val="24"/>
    </w:rPr>
  </w:style>
  <w:style w:type="character" w:customStyle="1" w:styleId="191">
    <w:name w:val="Char Char32"/>
    <w:qFormat/>
    <w:uiPriority w:val="0"/>
    <w:rPr>
      <w:rFonts w:ascii="仿宋_GB2312" w:eastAsia="仿宋_GB2312" w:cs="MingLiU"/>
      <w:b/>
      <w:spacing w:val="1"/>
      <w:w w:val="99"/>
      <w:sz w:val="28"/>
      <w:szCs w:val="32"/>
    </w:rPr>
  </w:style>
  <w:style w:type="character" w:customStyle="1" w:styleId="192">
    <w:name w:val="日期 Char"/>
    <w:qFormat/>
    <w:uiPriority w:val="0"/>
    <w:rPr>
      <w:rFonts w:eastAsia="宋体"/>
      <w:szCs w:val="24"/>
    </w:rPr>
  </w:style>
  <w:style w:type="character" w:customStyle="1" w:styleId="193">
    <w:name w:val="页脚 Char"/>
    <w:qFormat/>
    <w:uiPriority w:val="0"/>
    <w:rPr>
      <w:sz w:val="18"/>
      <w:szCs w:val="18"/>
    </w:rPr>
  </w:style>
  <w:style w:type="character" w:customStyle="1" w:styleId="194">
    <w:name w:val="style121"/>
    <w:qFormat/>
    <w:uiPriority w:val="0"/>
    <w:rPr>
      <w:rFonts w:hint="eastAsia" w:ascii="宋体" w:hAnsi="宋体" w:eastAsia="宋体"/>
      <w:sz w:val="18"/>
      <w:szCs w:val="18"/>
    </w:rPr>
  </w:style>
  <w:style w:type="character" w:customStyle="1" w:styleId="195">
    <w:name w:val="ss16"/>
    <w:qFormat/>
    <w:uiPriority w:val="0"/>
    <w:rPr>
      <w:rFonts w:hint="eastAsia" w:ascii="宋体" w:hAnsi="宋体" w:eastAsia="宋体"/>
      <w:color w:val="000000"/>
      <w:sz w:val="9"/>
      <w:szCs w:val="9"/>
    </w:rPr>
  </w:style>
  <w:style w:type="character" w:customStyle="1" w:styleId="196">
    <w:name w:val="textcontents"/>
    <w:qFormat/>
    <w:uiPriority w:val="0"/>
    <w:rPr>
      <w:rFonts w:cs="Times New Roman"/>
    </w:rPr>
  </w:style>
  <w:style w:type="character" w:customStyle="1" w:styleId="197">
    <w:name w:val="14t1"/>
    <w:qFormat/>
    <w:uiPriority w:val="0"/>
    <w:rPr>
      <w:rFonts w:hint="eastAsia" w:ascii="宋体" w:hAnsi="宋体" w:eastAsia="宋体"/>
      <w:sz w:val="11"/>
      <w:szCs w:val="11"/>
    </w:rPr>
  </w:style>
  <w:style w:type="character" w:customStyle="1" w:styleId="198">
    <w:name w:val="不明显参考1"/>
    <w:qFormat/>
    <w:uiPriority w:val="0"/>
    <w:rPr>
      <w:smallCaps/>
      <w:color w:val="C0504D"/>
      <w:u w:val="single"/>
    </w:rPr>
  </w:style>
  <w:style w:type="character" w:customStyle="1" w:styleId="199">
    <w:name w:val="unnamed1"/>
    <w:basedOn w:val="48"/>
    <w:qFormat/>
    <w:uiPriority w:val="0"/>
  </w:style>
  <w:style w:type="character" w:customStyle="1" w:styleId="200">
    <w:name w:val="批注主题 Char3"/>
    <w:semiHidden/>
    <w:qFormat/>
    <w:uiPriority w:val="99"/>
    <w:rPr>
      <w:rFonts w:ascii="Calibri" w:hAnsi="Calibri" w:eastAsia="宋体" w:cs="Times New Roman"/>
      <w:b/>
      <w:bCs/>
      <w:szCs w:val="24"/>
    </w:rPr>
  </w:style>
  <w:style w:type="character" w:customStyle="1" w:styleId="201">
    <w:name w:val="标题 3 Char2"/>
    <w:link w:val="5"/>
    <w:qFormat/>
    <w:uiPriority w:val="0"/>
    <w:rPr>
      <w:rFonts w:eastAsia="宋体"/>
      <w:b/>
      <w:bCs/>
      <w:kern w:val="2"/>
      <w:sz w:val="32"/>
      <w:szCs w:val="32"/>
      <w:lang w:val="en-US" w:eastAsia="zh-CN" w:bidi="ar-SA"/>
    </w:rPr>
  </w:style>
  <w:style w:type="character" w:customStyle="1" w:styleId="202">
    <w:name w:val="标题 2 Char2"/>
    <w:link w:val="4"/>
    <w:qFormat/>
    <w:uiPriority w:val="0"/>
    <w:rPr>
      <w:rFonts w:ascii="Cambria" w:hAnsi="Cambria" w:eastAsia="宋体"/>
      <w:b/>
      <w:bCs/>
      <w:kern w:val="2"/>
      <w:sz w:val="32"/>
      <w:szCs w:val="32"/>
      <w:lang w:val="en-US" w:eastAsia="zh-CN" w:bidi="ar-SA"/>
    </w:rPr>
  </w:style>
  <w:style w:type="character" w:customStyle="1" w:styleId="203">
    <w:name w:val="标题 6 Char2"/>
    <w:link w:val="8"/>
    <w:qFormat/>
    <w:uiPriority w:val="0"/>
    <w:rPr>
      <w:rFonts w:hAnsi="Arial" w:eastAsia="仿宋_GB2312"/>
      <w:sz w:val="30"/>
      <w:lang w:val="en-US" w:eastAsia="zh-CN" w:bidi="ar-SA"/>
    </w:rPr>
  </w:style>
  <w:style w:type="character" w:customStyle="1" w:styleId="204">
    <w:name w:val="页脚 Char2"/>
    <w:link w:val="29"/>
    <w:qFormat/>
    <w:uiPriority w:val="0"/>
    <w:rPr>
      <w:rFonts w:eastAsia="宋体"/>
      <w:kern w:val="2"/>
      <w:sz w:val="18"/>
      <w:szCs w:val="18"/>
      <w:lang w:val="en-US" w:eastAsia="zh-CN" w:bidi="ar-SA"/>
    </w:rPr>
  </w:style>
  <w:style w:type="character" w:customStyle="1" w:styleId="205">
    <w:name w:val="引用 Char4"/>
    <w:link w:val="111"/>
    <w:qFormat/>
    <w:uiPriority w:val="0"/>
    <w:rPr>
      <w:i/>
      <w:iCs/>
      <w:color w:val="000000"/>
      <w:kern w:val="2"/>
      <w:sz w:val="21"/>
      <w:szCs w:val="22"/>
      <w:lang w:bidi="ar-SA"/>
    </w:rPr>
  </w:style>
  <w:style w:type="character" w:customStyle="1" w:styleId="206">
    <w:name w:val="标题 9 Char2"/>
    <w:link w:val="12"/>
    <w:qFormat/>
    <w:uiPriority w:val="0"/>
    <w:rPr>
      <w:rFonts w:eastAsia="仿宋_GB2312"/>
      <w:sz w:val="30"/>
      <w:lang w:val="en-US" w:eastAsia="zh-CN" w:bidi="ar-SA"/>
    </w:rPr>
  </w:style>
  <w:style w:type="character" w:customStyle="1" w:styleId="207">
    <w:name w:val="标题 3 Char"/>
    <w:qFormat/>
    <w:uiPriority w:val="0"/>
    <w:rPr>
      <w:rFonts w:ascii="仿宋_GB2312" w:hAnsi="Calibri" w:eastAsia="仿宋_GB2312" w:cs="Times New Roman"/>
      <w:b/>
      <w:kern w:val="0"/>
      <w:sz w:val="24"/>
      <w:szCs w:val="28"/>
    </w:rPr>
  </w:style>
  <w:style w:type="character" w:customStyle="1" w:styleId="208">
    <w:name w:val="批注文字 Char2"/>
    <w:qFormat/>
    <w:uiPriority w:val="0"/>
    <w:rPr>
      <w:rFonts w:ascii="Calibri" w:hAnsi="Calibri" w:eastAsia="宋体" w:cs="Times New Roman"/>
      <w:szCs w:val="24"/>
    </w:rPr>
  </w:style>
  <w:style w:type="character" w:customStyle="1" w:styleId="209">
    <w:name w:val="normaltext1"/>
    <w:qFormat/>
    <w:uiPriority w:val="0"/>
    <w:rPr>
      <w:rFonts w:hint="default" w:ascii="ˎ̥" w:hAnsi="ˎ̥"/>
      <w:sz w:val="9"/>
      <w:szCs w:val="9"/>
    </w:rPr>
  </w:style>
  <w:style w:type="character" w:customStyle="1" w:styleId="210">
    <w:name w:val="ca-141"/>
    <w:qFormat/>
    <w:uiPriority w:val="0"/>
    <w:rPr>
      <w:rFonts w:hint="eastAsia" w:ascii="仿宋_GB2312" w:eastAsia="仿宋_GB2312"/>
      <w:sz w:val="21"/>
      <w:szCs w:val="21"/>
    </w:rPr>
  </w:style>
  <w:style w:type="character" w:customStyle="1" w:styleId="211">
    <w:name w:val="main_tdbg_7601"/>
    <w:qFormat/>
    <w:uiPriority w:val="0"/>
    <w:rPr>
      <w:sz w:val="14"/>
      <w:szCs w:val="14"/>
    </w:rPr>
  </w:style>
  <w:style w:type="character" w:customStyle="1" w:styleId="212">
    <w:name w:val="文档结构图 Char4"/>
    <w:link w:val="15"/>
    <w:qFormat/>
    <w:uiPriority w:val="0"/>
    <w:rPr>
      <w:rFonts w:eastAsia="宋体"/>
      <w:kern w:val="2"/>
      <w:sz w:val="21"/>
      <w:szCs w:val="24"/>
      <w:lang w:val="en-US" w:eastAsia="zh-CN" w:bidi="ar-SA"/>
    </w:rPr>
  </w:style>
  <w:style w:type="character" w:customStyle="1" w:styleId="213">
    <w:name w:val="批注框文本 Char3"/>
    <w:semiHidden/>
    <w:qFormat/>
    <w:uiPriority w:val="99"/>
    <w:rPr>
      <w:rFonts w:ascii="Calibri" w:hAnsi="Calibri" w:eastAsia="宋体" w:cs="Times New Roman"/>
      <w:sz w:val="18"/>
      <w:szCs w:val="18"/>
    </w:rPr>
  </w:style>
  <w:style w:type="character" w:customStyle="1" w:styleId="214">
    <w:name w:val="Char Char9"/>
    <w:qFormat/>
    <w:locked/>
    <w:uiPriority w:val="0"/>
    <w:rPr>
      <w:rFonts w:ascii="仿宋_GB2312" w:eastAsia="仿宋_GB2312" w:cs="MingLiU"/>
      <w:b/>
      <w:sz w:val="24"/>
      <w:szCs w:val="28"/>
      <w:lang w:val="en-US" w:eastAsia="zh-CN" w:bidi="ar-SA"/>
    </w:rPr>
  </w:style>
  <w:style w:type="character" w:customStyle="1" w:styleId="215">
    <w:name w:val="title11"/>
    <w:qFormat/>
    <w:uiPriority w:val="0"/>
    <w:rPr>
      <w:b/>
      <w:bCs/>
      <w:color w:val="FFFFFF"/>
      <w:sz w:val="11"/>
      <w:szCs w:val="11"/>
    </w:rPr>
  </w:style>
  <w:style w:type="character" w:customStyle="1" w:styleId="216">
    <w:name w:val="批注框文本 Char4"/>
    <w:link w:val="28"/>
    <w:qFormat/>
    <w:uiPriority w:val="0"/>
    <w:rPr>
      <w:rFonts w:eastAsia="宋体"/>
      <w:kern w:val="2"/>
      <w:sz w:val="18"/>
      <w:szCs w:val="18"/>
      <w:lang w:val="en-US" w:eastAsia="zh-CN" w:bidi="ar-SA"/>
    </w:rPr>
  </w:style>
  <w:style w:type="character" w:customStyle="1" w:styleId="217">
    <w:name w:val="标题 8 Char1"/>
    <w:qFormat/>
    <w:uiPriority w:val="0"/>
    <w:rPr>
      <w:rFonts w:ascii="Times New Roman" w:hAnsi="Arial" w:eastAsia="仿宋_GB2312" w:cs="Times New Roman"/>
      <w:sz w:val="30"/>
      <w:szCs w:val="20"/>
    </w:rPr>
  </w:style>
  <w:style w:type="character" w:customStyle="1" w:styleId="218">
    <w:name w:val="标题 Char2"/>
    <w:qFormat/>
    <w:uiPriority w:val="10"/>
    <w:rPr>
      <w:rFonts w:ascii="Cambria" w:hAnsi="Cambria" w:eastAsia="宋体" w:cs="Times New Roman"/>
      <w:b/>
      <w:bCs/>
      <w:sz w:val="32"/>
      <w:szCs w:val="32"/>
    </w:rPr>
  </w:style>
  <w:style w:type="character" w:customStyle="1" w:styleId="219">
    <w:name w:val="标题 Char3"/>
    <w:link w:val="43"/>
    <w:qFormat/>
    <w:uiPriority w:val="0"/>
    <w:rPr>
      <w:rFonts w:eastAsia="宋体"/>
      <w:szCs w:val="24"/>
      <w:u w:val="single"/>
      <w:lang w:val="en-US" w:eastAsia="en-US" w:bidi="ar-SA"/>
    </w:rPr>
  </w:style>
  <w:style w:type="character" w:customStyle="1" w:styleId="220">
    <w:name w:val="批注主题 Char1"/>
    <w:qFormat/>
    <w:uiPriority w:val="0"/>
    <w:rPr>
      <w:b/>
      <w:bCs/>
      <w:kern w:val="2"/>
      <w:sz w:val="21"/>
      <w:szCs w:val="22"/>
    </w:rPr>
  </w:style>
  <w:style w:type="character" w:customStyle="1" w:styleId="221">
    <w:name w:val="副标题 Char"/>
    <w:qFormat/>
    <w:uiPriority w:val="0"/>
    <w:rPr>
      <w:rFonts w:ascii="Cambria" w:hAnsi="Cambria" w:eastAsia="宋体" w:cs="Times New Roman"/>
      <w:b/>
      <w:bCs/>
      <w:kern w:val="28"/>
      <w:sz w:val="32"/>
      <w:szCs w:val="32"/>
    </w:rPr>
  </w:style>
  <w:style w:type="character" w:customStyle="1" w:styleId="222">
    <w:name w:val="正文文本 Char4"/>
    <w:link w:val="2"/>
    <w:qFormat/>
    <w:uiPriority w:val="0"/>
    <w:rPr>
      <w:rFonts w:eastAsia="宋体"/>
      <w:kern w:val="2"/>
      <w:sz w:val="21"/>
      <w:szCs w:val="24"/>
      <w:lang w:val="en-US" w:eastAsia="zh-CN" w:bidi="ar-SA"/>
    </w:rPr>
  </w:style>
  <w:style w:type="character" w:customStyle="1" w:styleId="223">
    <w:name w:val="纯文本 Char1"/>
    <w:qFormat/>
    <w:uiPriority w:val="0"/>
    <w:rPr>
      <w:rFonts w:ascii="宋体" w:hAnsi="Courier New" w:cs="Courier New"/>
      <w:kern w:val="2"/>
      <w:sz w:val="21"/>
      <w:szCs w:val="21"/>
    </w:rPr>
  </w:style>
  <w:style w:type="character" w:customStyle="1" w:styleId="224">
    <w:name w:val="脚注文本 Char3"/>
    <w:link w:val="34"/>
    <w:qFormat/>
    <w:uiPriority w:val="0"/>
    <w:rPr>
      <w:rFonts w:ascii="Arial" w:hAnsi="Arial" w:eastAsia="宋体" w:cs="Arial"/>
      <w:sz w:val="18"/>
      <w:szCs w:val="18"/>
      <w:lang w:val="en-US" w:eastAsia="en-US" w:bidi="ar-SA"/>
    </w:rPr>
  </w:style>
  <w:style w:type="character" w:customStyle="1" w:styleId="225">
    <w:name w:val="标题 2 Char1"/>
    <w:qFormat/>
    <w:uiPriority w:val="0"/>
    <w:rPr>
      <w:rFonts w:ascii="Cambria" w:hAnsi="Cambria" w:eastAsia="宋体" w:cs="Times New Roman"/>
      <w:b/>
      <w:bCs/>
      <w:kern w:val="2"/>
      <w:sz w:val="32"/>
      <w:szCs w:val="32"/>
    </w:rPr>
  </w:style>
  <w:style w:type="character" w:customStyle="1" w:styleId="226">
    <w:name w:val="脚注文本 Char1"/>
    <w:qFormat/>
    <w:uiPriority w:val="0"/>
    <w:rPr>
      <w:rFonts w:ascii="Arial" w:hAnsi="Arial" w:cs="Arial"/>
      <w:sz w:val="18"/>
      <w:szCs w:val="18"/>
      <w:lang w:eastAsia="en-US"/>
    </w:rPr>
  </w:style>
  <w:style w:type="character" w:customStyle="1" w:styleId="227">
    <w:name w:val="HTML 预设格式 Char2"/>
    <w:semiHidden/>
    <w:qFormat/>
    <w:uiPriority w:val="99"/>
    <w:rPr>
      <w:rFonts w:ascii="Courier New" w:hAnsi="Courier New" w:eastAsia="宋体" w:cs="Courier New"/>
      <w:sz w:val="20"/>
      <w:szCs w:val="20"/>
    </w:rPr>
  </w:style>
  <w:style w:type="character" w:customStyle="1" w:styleId="228">
    <w:name w:val="标题 8 Char"/>
    <w:qFormat/>
    <w:uiPriority w:val="0"/>
    <w:rPr>
      <w:rFonts w:ascii="Arial" w:hAnsi="Arial" w:eastAsia="黑体" w:cs="Times New Roman"/>
      <w:sz w:val="24"/>
      <w:szCs w:val="24"/>
    </w:rPr>
  </w:style>
  <w:style w:type="character" w:customStyle="1" w:styleId="229">
    <w:name w:val="s3"/>
    <w:qFormat/>
    <w:uiPriority w:val="0"/>
  </w:style>
  <w:style w:type="character" w:customStyle="1" w:styleId="230">
    <w:name w:val="标题 4 Char"/>
    <w:qFormat/>
    <w:uiPriority w:val="0"/>
    <w:rPr>
      <w:rFonts w:ascii="仿宋_GB2312" w:hAnsi="Calibri" w:eastAsia="仿宋_GB2312" w:cs="Times New Roman"/>
      <w:b/>
      <w:kern w:val="0"/>
      <w:sz w:val="24"/>
      <w:szCs w:val="28"/>
    </w:rPr>
  </w:style>
  <w:style w:type="character" w:customStyle="1" w:styleId="231">
    <w:name w:val="正文文本缩进 2 Char"/>
    <w:qFormat/>
    <w:uiPriority w:val="0"/>
    <w:rPr>
      <w:kern w:val="2"/>
      <w:sz w:val="21"/>
      <w:szCs w:val="24"/>
    </w:rPr>
  </w:style>
  <w:style w:type="character" w:customStyle="1" w:styleId="232">
    <w:name w:val="style21"/>
    <w:qFormat/>
    <w:uiPriority w:val="0"/>
    <w:rPr>
      <w:b/>
      <w:bCs/>
      <w:sz w:val="28"/>
      <w:szCs w:val="28"/>
    </w:rPr>
  </w:style>
  <w:style w:type="character" w:customStyle="1" w:styleId="233">
    <w:name w:val="正文文本缩进 2 Char2"/>
    <w:semiHidden/>
    <w:qFormat/>
    <w:uiPriority w:val="99"/>
    <w:rPr>
      <w:rFonts w:ascii="Calibri" w:hAnsi="Calibri" w:eastAsia="宋体" w:cs="Times New Roman"/>
      <w:szCs w:val="24"/>
    </w:rPr>
  </w:style>
  <w:style w:type="character" w:customStyle="1" w:styleId="234">
    <w:name w:val="ht1"/>
    <w:qFormat/>
    <w:uiPriority w:val="0"/>
    <w:rPr>
      <w:rFonts w:ascii="黑体" w:eastAsia="黑体"/>
      <w:b/>
      <w:bCs/>
    </w:rPr>
  </w:style>
  <w:style w:type="character" w:customStyle="1" w:styleId="235">
    <w:name w:val="文档结构图 Char3"/>
    <w:semiHidden/>
    <w:qFormat/>
    <w:uiPriority w:val="99"/>
    <w:rPr>
      <w:rFonts w:ascii="宋体" w:hAnsi="Calibri" w:eastAsia="宋体" w:cs="Times New Roman"/>
      <w:sz w:val="18"/>
      <w:szCs w:val="18"/>
    </w:rPr>
  </w:style>
  <w:style w:type="character" w:customStyle="1" w:styleId="236">
    <w:name w:val="书籍标题1"/>
    <w:qFormat/>
    <w:uiPriority w:val="0"/>
    <w:rPr>
      <w:b/>
      <w:bCs/>
      <w:smallCaps/>
      <w:spacing w:val="5"/>
    </w:rPr>
  </w:style>
  <w:style w:type="character" w:customStyle="1" w:styleId="237">
    <w:name w:val="标题 7 Char1"/>
    <w:qFormat/>
    <w:uiPriority w:val="0"/>
    <w:rPr>
      <w:rFonts w:ascii="Times New Roman" w:hAnsi="Times New Roman" w:eastAsia="仿宋_GB2312" w:cs="Times New Roman"/>
      <w:sz w:val="30"/>
      <w:szCs w:val="20"/>
    </w:rPr>
  </w:style>
  <w:style w:type="character" w:customStyle="1" w:styleId="238">
    <w:name w:val="明显引用 Char2"/>
    <w:qFormat/>
    <w:uiPriority w:val="99"/>
    <w:rPr>
      <w:b/>
      <w:bCs/>
      <w:i/>
      <w:iCs/>
      <w:color w:val="4F81BD"/>
      <w:kern w:val="2"/>
      <w:sz w:val="21"/>
      <w:szCs w:val="24"/>
    </w:rPr>
  </w:style>
  <w:style w:type="character" w:customStyle="1" w:styleId="239">
    <w:name w:val="不明显强调1"/>
    <w:qFormat/>
    <w:uiPriority w:val="0"/>
    <w:rPr>
      <w:i/>
      <w:iCs/>
      <w:color w:val="808080"/>
    </w:rPr>
  </w:style>
  <w:style w:type="character" w:customStyle="1" w:styleId="240">
    <w:name w:val="普通文字 Char Char2"/>
    <w:qFormat/>
    <w:uiPriority w:val="0"/>
    <w:rPr>
      <w:rFonts w:ascii="宋体" w:hAnsi="Courier New"/>
      <w:kern w:val="2"/>
      <w:sz w:val="28"/>
      <w:szCs w:val="28"/>
    </w:rPr>
  </w:style>
  <w:style w:type="character" w:customStyle="1" w:styleId="241">
    <w:name w:val="标题 6 Char"/>
    <w:qFormat/>
    <w:uiPriority w:val="0"/>
    <w:rPr>
      <w:rFonts w:ascii="Arial" w:hAnsi="Arial" w:eastAsia="黑体" w:cs="Times New Roman"/>
      <w:b/>
      <w:bCs/>
      <w:sz w:val="24"/>
      <w:szCs w:val="24"/>
    </w:rPr>
  </w:style>
  <w:style w:type="character" w:customStyle="1" w:styleId="242">
    <w:name w:val="l1"/>
    <w:basedOn w:val="48"/>
    <w:qFormat/>
    <w:uiPriority w:val="0"/>
  </w:style>
  <w:style w:type="character" w:customStyle="1" w:styleId="243">
    <w:name w:val="未处理的提及1"/>
    <w:unhideWhenUsed/>
    <w:qFormat/>
    <w:uiPriority w:val="99"/>
    <w:rPr>
      <w:color w:val="808080"/>
      <w:shd w:val="clear" w:color="auto" w:fill="E6E6E6"/>
    </w:rPr>
  </w:style>
  <w:style w:type="character" w:customStyle="1" w:styleId="244">
    <w:name w:val="页眉 Char2"/>
    <w:link w:val="30"/>
    <w:qFormat/>
    <w:uiPriority w:val="0"/>
    <w:rPr>
      <w:rFonts w:eastAsia="宋体"/>
      <w:kern w:val="2"/>
      <w:sz w:val="18"/>
      <w:szCs w:val="18"/>
      <w:lang w:val="en-US" w:eastAsia="zh-CN" w:bidi="ar-SA"/>
    </w:rPr>
  </w:style>
  <w:style w:type="character" w:customStyle="1" w:styleId="245">
    <w:name w:val="Char Char35"/>
    <w:qFormat/>
    <w:uiPriority w:val="0"/>
    <w:rPr>
      <w:rFonts w:ascii="仿宋_GB2312" w:eastAsia="仿宋_GB2312" w:cs="MingLiU"/>
      <w:b/>
      <w:sz w:val="24"/>
      <w:szCs w:val="28"/>
    </w:rPr>
  </w:style>
  <w:style w:type="character" w:customStyle="1" w:styleId="246">
    <w:name w:val="Char Char11"/>
    <w:qFormat/>
    <w:locked/>
    <w:uiPriority w:val="0"/>
    <w:rPr>
      <w:rFonts w:eastAsia="黑体"/>
      <w:kern w:val="2"/>
      <w:sz w:val="44"/>
      <w:szCs w:val="44"/>
      <w:lang w:val="en-US" w:eastAsia="zh-CN" w:bidi="ar-SA"/>
    </w:rPr>
  </w:style>
  <w:style w:type="character" w:customStyle="1" w:styleId="247">
    <w:name w:val="style31"/>
    <w:qFormat/>
    <w:uiPriority w:val="0"/>
    <w:rPr>
      <w:sz w:val="10"/>
      <w:szCs w:val="10"/>
    </w:rPr>
  </w:style>
  <w:style w:type="character" w:customStyle="1" w:styleId="248">
    <w:name w:val="0d1471"/>
    <w:qFormat/>
    <w:uiPriority w:val="0"/>
    <w:rPr>
      <w:color w:val="000000"/>
      <w:sz w:val="11"/>
      <w:szCs w:val="11"/>
      <w:u w:val="none"/>
    </w:rPr>
  </w:style>
  <w:style w:type="character" w:customStyle="1" w:styleId="249">
    <w:name w:val="标题 9 Char"/>
    <w:qFormat/>
    <w:uiPriority w:val="0"/>
    <w:rPr>
      <w:rFonts w:ascii="Arial" w:hAnsi="Arial" w:eastAsia="黑体" w:cs="Times New Roman"/>
      <w:szCs w:val="21"/>
    </w:rPr>
  </w:style>
  <w:style w:type="character" w:customStyle="1" w:styleId="250">
    <w:name w:val="标题 3 Char1"/>
    <w:qFormat/>
    <w:uiPriority w:val="0"/>
    <w:rPr>
      <w:rFonts w:ascii="Times New Roman" w:hAnsi="Times New Roman" w:eastAsia="宋体" w:cs="Times New Roman"/>
      <w:b/>
      <w:bCs/>
      <w:kern w:val="2"/>
      <w:sz w:val="32"/>
      <w:szCs w:val="32"/>
    </w:rPr>
  </w:style>
  <w:style w:type="character" w:customStyle="1" w:styleId="251">
    <w:name w:val="标题4 Char Char"/>
    <w:link w:val="96"/>
    <w:qFormat/>
    <w:uiPriority w:val="0"/>
    <w:rPr>
      <w:rFonts w:ascii="Arial" w:hAnsi="Arial"/>
      <w:b/>
      <w:bCs/>
      <w:sz w:val="24"/>
      <w:szCs w:val="32"/>
      <w:lang w:bidi="ar-SA"/>
    </w:rPr>
  </w:style>
  <w:style w:type="character" w:customStyle="1" w:styleId="252">
    <w:name w:val="标题 5 Char1"/>
    <w:qFormat/>
    <w:uiPriority w:val="0"/>
    <w:rPr>
      <w:rFonts w:ascii="宋体" w:hAnsi="宋体" w:eastAsia="宋体" w:cs="宋体"/>
      <w:b/>
      <w:bCs/>
      <w:sz w:val="20"/>
      <w:szCs w:val="20"/>
    </w:rPr>
  </w:style>
  <w:style w:type="character" w:customStyle="1" w:styleId="253">
    <w:name w:val="正文文本缩进 3 Char1"/>
    <w:qFormat/>
    <w:uiPriority w:val="0"/>
    <w:rPr>
      <w:rFonts w:ascii="宋体" w:hAnsi="宋体"/>
      <w:kern w:val="2"/>
      <w:sz w:val="28"/>
      <w:szCs w:val="28"/>
    </w:rPr>
  </w:style>
  <w:style w:type="character" w:customStyle="1" w:styleId="254">
    <w:name w:val="Char Char33"/>
    <w:qFormat/>
    <w:uiPriority w:val="0"/>
    <w:rPr>
      <w:rFonts w:ascii="仿宋_GB2312" w:eastAsia="仿宋_GB2312" w:cs="MingLiU"/>
      <w:b/>
      <w:sz w:val="24"/>
      <w:szCs w:val="28"/>
    </w:rPr>
  </w:style>
  <w:style w:type="character" w:customStyle="1" w:styleId="255">
    <w:name w:val="批注文字 Char1"/>
    <w:qFormat/>
    <w:uiPriority w:val="99"/>
    <w:rPr>
      <w:rFonts w:ascii="Times New Roman" w:hAnsi="Times New Roman" w:eastAsia="宋体" w:cs="Times New Roman"/>
      <w:szCs w:val="24"/>
    </w:rPr>
  </w:style>
  <w:style w:type="character" w:customStyle="1" w:styleId="256">
    <w:name w:val="正文文本 3 Char1"/>
    <w:qFormat/>
    <w:uiPriority w:val="0"/>
    <w:rPr>
      <w:kern w:val="2"/>
      <w:sz w:val="16"/>
      <w:szCs w:val="16"/>
    </w:rPr>
  </w:style>
  <w:style w:type="character" w:customStyle="1" w:styleId="257">
    <w:name w:val="页眉 Char"/>
    <w:qFormat/>
    <w:uiPriority w:val="0"/>
    <w:rPr>
      <w:sz w:val="18"/>
      <w:szCs w:val="18"/>
    </w:rPr>
  </w:style>
  <w:style w:type="character" w:customStyle="1" w:styleId="258">
    <w:name w:val="明显引用 Char"/>
    <w:qFormat/>
    <w:uiPriority w:val="0"/>
    <w:rPr>
      <w:rFonts w:ascii="Times New Roman" w:hAnsi="Times New Roman" w:eastAsia="宋体" w:cs="Times New Roman"/>
      <w:b/>
      <w:bCs/>
      <w:i/>
      <w:iCs/>
      <w:color w:val="4F81BD"/>
      <w:kern w:val="2"/>
      <w:sz w:val="21"/>
      <w:szCs w:val="24"/>
    </w:rPr>
  </w:style>
  <w:style w:type="character" w:customStyle="1" w:styleId="259">
    <w:name w:val="color_red1"/>
    <w:qFormat/>
    <w:uiPriority w:val="0"/>
    <w:rPr>
      <w:color w:val="FA0004"/>
    </w:rPr>
  </w:style>
  <w:style w:type="character" w:customStyle="1" w:styleId="260">
    <w:name w:val="批注主题 Char2"/>
    <w:qFormat/>
    <w:uiPriority w:val="99"/>
    <w:rPr>
      <w:b/>
      <w:bCs/>
      <w:kern w:val="2"/>
      <w:sz w:val="21"/>
      <w:szCs w:val="24"/>
    </w:rPr>
  </w:style>
  <w:style w:type="character" w:customStyle="1" w:styleId="261">
    <w:name w:val="Char Char34"/>
    <w:qFormat/>
    <w:uiPriority w:val="0"/>
    <w:rPr>
      <w:rFonts w:ascii="仿宋_GB2312" w:eastAsia="仿宋_GB2312" w:cs="MingLiU"/>
      <w:b/>
      <w:spacing w:val="1"/>
      <w:w w:val="99"/>
      <w:sz w:val="28"/>
      <w:szCs w:val="32"/>
    </w:rPr>
  </w:style>
  <w:style w:type="character" w:customStyle="1" w:styleId="262">
    <w:name w:val="标题 1 Char"/>
    <w:qFormat/>
    <w:uiPriority w:val="0"/>
    <w:rPr>
      <w:rFonts w:ascii="Times New Roman" w:hAnsi="Times New Roman" w:eastAsia="宋体" w:cs="Times New Roman"/>
      <w:b/>
      <w:bCs/>
      <w:kern w:val="44"/>
      <w:sz w:val="44"/>
      <w:szCs w:val="44"/>
    </w:rPr>
  </w:style>
  <w:style w:type="character" w:customStyle="1" w:styleId="263">
    <w:name w:val="docpro"/>
    <w:basedOn w:val="48"/>
    <w:qFormat/>
    <w:uiPriority w:val="0"/>
  </w:style>
  <w:style w:type="character" w:customStyle="1" w:styleId="264">
    <w:name w:val="正文文本 3 Char"/>
    <w:qFormat/>
    <w:uiPriority w:val="0"/>
    <w:rPr>
      <w:kern w:val="2"/>
      <w:sz w:val="16"/>
      <w:szCs w:val="16"/>
    </w:rPr>
  </w:style>
  <w:style w:type="character" w:customStyle="1" w:styleId="265">
    <w:name w:val="标题 5 Char"/>
    <w:qFormat/>
    <w:uiPriority w:val="0"/>
    <w:rPr>
      <w:rFonts w:ascii="Calibri" w:hAnsi="Calibri" w:eastAsia="宋体" w:cs="Times New Roman"/>
      <w:b/>
      <w:bCs/>
      <w:sz w:val="28"/>
      <w:szCs w:val="28"/>
    </w:rPr>
  </w:style>
  <w:style w:type="character" w:customStyle="1" w:styleId="266">
    <w:name w:val="style161"/>
    <w:qFormat/>
    <w:uiPriority w:val="0"/>
    <w:rPr>
      <w:b/>
      <w:bCs/>
      <w:color w:val="333333"/>
    </w:rPr>
  </w:style>
  <w:style w:type="character" w:customStyle="1" w:styleId="267">
    <w:name w:val="文档结构图 Char2"/>
    <w:qFormat/>
    <w:uiPriority w:val="99"/>
    <w:rPr>
      <w:kern w:val="2"/>
      <w:sz w:val="21"/>
      <w:szCs w:val="24"/>
      <w:shd w:val="clear" w:color="auto" w:fill="000080"/>
    </w:rPr>
  </w:style>
  <w:style w:type="character" w:customStyle="1" w:styleId="268">
    <w:name w:val="页脚 Char1"/>
    <w:semiHidden/>
    <w:qFormat/>
    <w:uiPriority w:val="99"/>
    <w:rPr>
      <w:kern w:val="2"/>
      <w:sz w:val="18"/>
      <w:szCs w:val="18"/>
    </w:rPr>
  </w:style>
  <w:style w:type="character" w:customStyle="1" w:styleId="269">
    <w:name w:val="日期 Char2"/>
    <w:qFormat/>
    <w:uiPriority w:val="99"/>
    <w:rPr>
      <w:kern w:val="2"/>
      <w:sz w:val="21"/>
      <w:szCs w:val="24"/>
    </w:rPr>
  </w:style>
  <w:style w:type="character" w:customStyle="1" w:styleId="270">
    <w:name w:val="HTML 预设格式 Char"/>
    <w:qFormat/>
    <w:uiPriority w:val="0"/>
    <w:rPr>
      <w:rFonts w:ascii="宋体" w:hAnsi="宋体" w:eastAsia="宋体" w:cs="宋体"/>
      <w:color w:val="000000"/>
      <w:sz w:val="24"/>
      <w:szCs w:val="24"/>
    </w:rPr>
  </w:style>
  <w:style w:type="character" w:customStyle="1" w:styleId="271">
    <w:name w:val="批注主题 Char4"/>
    <w:link w:val="44"/>
    <w:qFormat/>
    <w:uiPriority w:val="0"/>
    <w:rPr>
      <w:rFonts w:eastAsia="宋体"/>
      <w:b/>
      <w:bCs/>
      <w:kern w:val="2"/>
      <w:sz w:val="21"/>
      <w:szCs w:val="24"/>
      <w:lang w:val="en-US" w:eastAsia="zh-CN" w:bidi="ar-SA"/>
    </w:rPr>
  </w:style>
  <w:style w:type="character" w:customStyle="1" w:styleId="272">
    <w:name w:val="正文文本 2 Char"/>
    <w:link w:val="39"/>
    <w:qFormat/>
    <w:uiPriority w:val="0"/>
    <w:rPr>
      <w:i/>
      <w:iCs/>
      <w:kern w:val="2"/>
      <w:sz w:val="26"/>
      <w:szCs w:val="24"/>
    </w:rPr>
  </w:style>
  <w:style w:type="character" w:customStyle="1" w:styleId="273">
    <w:name w:val="批注框文本 Char"/>
    <w:qFormat/>
    <w:uiPriority w:val="0"/>
    <w:rPr>
      <w:sz w:val="18"/>
      <w:szCs w:val="18"/>
    </w:rPr>
  </w:style>
  <w:style w:type="character" w:customStyle="1" w:styleId="274">
    <w:name w:val="文档结构图 Char"/>
    <w:qFormat/>
    <w:uiPriority w:val="0"/>
    <w:rPr>
      <w:rFonts w:ascii="宋体"/>
      <w:kern w:val="2"/>
      <w:sz w:val="18"/>
      <w:szCs w:val="18"/>
    </w:rPr>
  </w:style>
  <w:style w:type="character" w:customStyle="1" w:styleId="275">
    <w:name w:val="标题 8 Char2"/>
    <w:link w:val="11"/>
    <w:qFormat/>
    <w:uiPriority w:val="0"/>
    <w:rPr>
      <w:rFonts w:hAnsi="Arial" w:eastAsia="仿宋_GB2312"/>
      <w:sz w:val="30"/>
      <w:lang w:val="en-US" w:eastAsia="zh-CN" w:bidi="ar-SA"/>
    </w:rPr>
  </w:style>
  <w:style w:type="character" w:customStyle="1" w:styleId="276">
    <w:name w:val="正文文本缩进 3 Char3"/>
    <w:link w:val="36"/>
    <w:qFormat/>
    <w:uiPriority w:val="0"/>
    <w:rPr>
      <w:rFonts w:ascii="宋体" w:hAnsi="宋体" w:eastAsia="宋体"/>
      <w:kern w:val="2"/>
      <w:sz w:val="28"/>
      <w:szCs w:val="28"/>
      <w:lang w:val="en-US" w:eastAsia="zh-CN" w:bidi="ar-SA"/>
    </w:rPr>
  </w:style>
  <w:style w:type="character" w:customStyle="1" w:styleId="277">
    <w:name w:val="正文文本缩进 Char3"/>
    <w:link w:val="18"/>
    <w:qFormat/>
    <w:uiPriority w:val="0"/>
    <w:rPr>
      <w:rFonts w:eastAsia="宋体"/>
      <w:kern w:val="2"/>
      <w:sz w:val="21"/>
      <w:szCs w:val="24"/>
      <w:lang w:val="en-US" w:eastAsia="zh-CN" w:bidi="ar-SA"/>
    </w:rPr>
  </w:style>
  <w:style w:type="character" w:customStyle="1" w:styleId="278">
    <w:name w:val="_Style 196"/>
    <w:qFormat/>
    <w:uiPriority w:val="0"/>
    <w:rPr>
      <w:i/>
      <w:iCs/>
      <w:color w:val="808080"/>
    </w:rPr>
  </w:style>
  <w:style w:type="character" w:customStyle="1" w:styleId="279">
    <w:name w:val="正文文本缩进 2 Char3"/>
    <w:link w:val="26"/>
    <w:qFormat/>
    <w:uiPriority w:val="0"/>
    <w:rPr>
      <w:rFonts w:eastAsia="宋体"/>
      <w:sz w:val="28"/>
      <w:szCs w:val="24"/>
      <w:lang w:val="en-US" w:eastAsia="zh-CN" w:bidi="ar-SA"/>
    </w:rPr>
  </w:style>
  <w:style w:type="character" w:customStyle="1" w:styleId="280">
    <w:name w:val="标题 7 Char2"/>
    <w:link w:val="10"/>
    <w:qFormat/>
    <w:uiPriority w:val="0"/>
    <w:rPr>
      <w:rFonts w:eastAsia="仿宋_GB2312"/>
      <w:sz w:val="30"/>
      <w:lang w:val="en-US" w:eastAsia="zh-CN" w:bidi="ar-SA"/>
    </w:rPr>
  </w:style>
  <w:style w:type="character" w:customStyle="1" w:styleId="281">
    <w:name w:val="Char Char13"/>
    <w:qFormat/>
    <w:uiPriority w:val="0"/>
    <w:rPr>
      <w:kern w:val="2"/>
      <w:sz w:val="18"/>
      <w:szCs w:val="18"/>
    </w:rPr>
  </w:style>
  <w:style w:type="character" w:customStyle="1" w:styleId="282">
    <w:name w:val="正文文本缩进 2 Char1"/>
    <w:qFormat/>
    <w:uiPriority w:val="0"/>
    <w:rPr>
      <w:sz w:val="28"/>
      <w:szCs w:val="24"/>
    </w:rPr>
  </w:style>
  <w:style w:type="character" w:customStyle="1" w:styleId="283">
    <w:name w:val="Char Char21"/>
    <w:qFormat/>
    <w:uiPriority w:val="0"/>
    <w:rPr>
      <w:rFonts w:ascii="宋体" w:hAnsi="宋体" w:cs="宋体"/>
      <w:b/>
      <w:bCs/>
      <w:sz w:val="24"/>
      <w:szCs w:val="24"/>
    </w:rPr>
  </w:style>
  <w:style w:type="character" w:customStyle="1" w:styleId="284">
    <w:name w:val="文档结构图 Char1"/>
    <w:qFormat/>
    <w:uiPriority w:val="0"/>
    <w:rPr>
      <w:rFonts w:ascii="宋体"/>
      <w:kern w:val="2"/>
      <w:sz w:val="18"/>
      <w:szCs w:val="18"/>
    </w:rPr>
  </w:style>
  <w:style w:type="character" w:customStyle="1" w:styleId="285">
    <w:name w:val="标题 Char"/>
    <w:qFormat/>
    <w:uiPriority w:val="0"/>
    <w:rPr>
      <w:rFonts w:ascii="Cambria" w:hAnsi="Cambria" w:eastAsia="宋体" w:cs="Times New Roman"/>
      <w:b/>
      <w:bCs/>
      <w:kern w:val="2"/>
      <w:sz w:val="32"/>
      <w:szCs w:val="32"/>
    </w:rPr>
  </w:style>
  <w:style w:type="character" w:customStyle="1" w:styleId="286">
    <w:name w:val="_Style 275"/>
    <w:qFormat/>
    <w:uiPriority w:val="0"/>
    <w:rPr>
      <w:smallCaps/>
      <w:color w:val="C0504D"/>
      <w:u w:val="single"/>
    </w:rPr>
  </w:style>
  <w:style w:type="character" w:customStyle="1" w:styleId="287">
    <w:name w:val="Char Char12"/>
    <w:qFormat/>
    <w:uiPriority w:val="0"/>
    <w:rPr>
      <w:rFonts w:eastAsia="黑体"/>
      <w:kern w:val="2"/>
      <w:sz w:val="44"/>
      <w:szCs w:val="44"/>
      <w:lang w:val="en-US" w:eastAsia="zh-CN" w:bidi="ar-SA"/>
    </w:rPr>
  </w:style>
  <w:style w:type="character" w:customStyle="1" w:styleId="288">
    <w:name w:val="明显参考1"/>
    <w:qFormat/>
    <w:uiPriority w:val="0"/>
    <w:rPr>
      <w:b/>
      <w:bCs/>
      <w:smallCaps/>
      <w:color w:val="C0504D"/>
      <w:spacing w:val="5"/>
      <w:u w:val="single"/>
    </w:rPr>
  </w:style>
  <w:style w:type="character" w:customStyle="1" w:styleId="289">
    <w:name w:val="Char Char36"/>
    <w:qFormat/>
    <w:uiPriority w:val="0"/>
    <w:rPr>
      <w:rFonts w:ascii="仿宋_GB2312" w:eastAsia="仿宋_GB2312" w:cs="MingLiU"/>
      <w:b/>
      <w:sz w:val="24"/>
      <w:szCs w:val="28"/>
    </w:rPr>
  </w:style>
  <w:style w:type="character" w:customStyle="1" w:styleId="290">
    <w:name w:val="批注框文本 Char2"/>
    <w:qFormat/>
    <w:uiPriority w:val="99"/>
    <w:rPr>
      <w:kern w:val="2"/>
      <w:sz w:val="18"/>
      <w:szCs w:val="18"/>
    </w:rPr>
  </w:style>
  <w:style w:type="character" w:customStyle="1" w:styleId="291">
    <w:name w:val="subhead1"/>
    <w:qFormat/>
    <w:uiPriority w:val="0"/>
    <w:rPr>
      <w:rFonts w:hint="default" w:ascii="Tahoma" w:hAnsi="Tahoma" w:cs="Tahoma"/>
      <w:color w:val="000000"/>
      <w:sz w:val="18"/>
      <w:szCs w:val="18"/>
      <w:u w:val="none"/>
      <w:shd w:val="clear" w:color="auto" w:fill="FFFFFF"/>
    </w:rPr>
  </w:style>
  <w:style w:type="character" w:customStyle="1" w:styleId="292">
    <w:name w:val="正文文本缩进 3 Char2"/>
    <w:semiHidden/>
    <w:qFormat/>
    <w:uiPriority w:val="99"/>
    <w:rPr>
      <w:rFonts w:ascii="Calibri" w:hAnsi="Calibri" w:eastAsia="宋体" w:cs="Times New Roman"/>
      <w:sz w:val="16"/>
      <w:szCs w:val="16"/>
    </w:rPr>
  </w:style>
  <w:style w:type="character" w:customStyle="1" w:styleId="293">
    <w:name w:val="纯文本 Char"/>
    <w:qFormat/>
    <w:uiPriority w:val="0"/>
    <w:rPr>
      <w:rFonts w:ascii="宋体" w:hAnsi="Courier New"/>
      <w:sz w:val="28"/>
      <w:szCs w:val="28"/>
    </w:rPr>
  </w:style>
  <w:style w:type="character" w:customStyle="1" w:styleId="294">
    <w:name w:val="纯文本 Char2"/>
    <w:semiHidden/>
    <w:qFormat/>
    <w:uiPriority w:val="99"/>
    <w:rPr>
      <w:rFonts w:ascii="宋体" w:hAnsi="Courier New" w:eastAsia="宋体" w:cs="Courier New"/>
      <w:szCs w:val="21"/>
    </w:rPr>
  </w:style>
  <w:style w:type="character" w:customStyle="1" w:styleId="295">
    <w:name w:val="页眉 Char1"/>
    <w:semiHidden/>
    <w:qFormat/>
    <w:uiPriority w:val="99"/>
    <w:rPr>
      <w:kern w:val="2"/>
      <w:sz w:val="18"/>
      <w:szCs w:val="18"/>
    </w:rPr>
  </w:style>
  <w:style w:type="character" w:customStyle="1" w:styleId="296">
    <w:name w:val="Char Char14"/>
    <w:qFormat/>
    <w:uiPriority w:val="0"/>
    <w:rPr>
      <w:kern w:val="2"/>
      <w:sz w:val="18"/>
      <w:szCs w:val="18"/>
    </w:rPr>
  </w:style>
  <w:style w:type="character" w:customStyle="1" w:styleId="297">
    <w:name w:val="批注文字 Char3"/>
    <w:link w:val="16"/>
    <w:qFormat/>
    <w:uiPriority w:val="99"/>
    <w:rPr>
      <w:rFonts w:eastAsia="宋体"/>
      <w:kern w:val="2"/>
      <w:sz w:val="21"/>
      <w:szCs w:val="24"/>
      <w:lang w:val="en-US" w:eastAsia="zh-CN" w:bidi="ar-SA"/>
    </w:rPr>
  </w:style>
  <w:style w:type="character" w:customStyle="1" w:styleId="298">
    <w:name w:val="批注文字 Char Char"/>
    <w:qFormat/>
    <w:uiPriority w:val="0"/>
    <w:rPr>
      <w:rFonts w:ascii="宋体" w:hAnsi="Times New Roman" w:eastAsia="宋体" w:cs="Times New Roman"/>
      <w:sz w:val="28"/>
      <w:szCs w:val="20"/>
    </w:rPr>
  </w:style>
  <w:style w:type="character" w:customStyle="1" w:styleId="299">
    <w:name w:val="标题 1 Char1"/>
    <w:qFormat/>
    <w:uiPriority w:val="0"/>
    <w:rPr>
      <w:rFonts w:ascii="Times New Roman" w:hAnsi="Times New Roman" w:eastAsia="宋体" w:cs="Times New Roman"/>
      <w:b/>
      <w:bCs/>
      <w:kern w:val="44"/>
      <w:sz w:val="44"/>
      <w:szCs w:val="44"/>
    </w:rPr>
  </w:style>
  <w:style w:type="character" w:customStyle="1" w:styleId="300">
    <w:name w:val="标题 5 Char2"/>
    <w:link w:val="7"/>
    <w:qFormat/>
    <w:uiPriority w:val="0"/>
    <w:rPr>
      <w:rFonts w:ascii="宋体" w:hAnsi="宋体" w:eastAsia="宋体" w:cs="宋体"/>
      <w:b/>
      <w:bCs/>
      <w:lang w:val="en-US" w:eastAsia="zh-CN" w:bidi="ar-SA"/>
    </w:rPr>
  </w:style>
  <w:style w:type="character" w:customStyle="1" w:styleId="301">
    <w:name w:val="手改 Char Char"/>
    <w:qFormat/>
    <w:uiPriority w:val="0"/>
    <w:rPr>
      <w:kern w:val="2"/>
      <w:sz w:val="21"/>
      <w:szCs w:val="24"/>
    </w:rPr>
  </w:style>
  <w:style w:type="character" w:customStyle="1" w:styleId="302">
    <w:name w:val="标题 1 Char2"/>
    <w:link w:val="3"/>
    <w:qFormat/>
    <w:uiPriority w:val="0"/>
    <w:rPr>
      <w:rFonts w:eastAsia="宋体"/>
      <w:b/>
      <w:bCs/>
      <w:kern w:val="44"/>
      <w:sz w:val="44"/>
      <w:szCs w:val="44"/>
      <w:lang w:val="en-US" w:eastAsia="zh-CN" w:bidi="ar-SA"/>
    </w:rPr>
  </w:style>
  <w:style w:type="character" w:customStyle="1" w:styleId="303">
    <w:name w:val="intel3"/>
    <w:basedOn w:val="48"/>
    <w:qFormat/>
    <w:uiPriority w:val="0"/>
  </w:style>
  <w:style w:type="character" w:customStyle="1" w:styleId="304">
    <w:name w:val="副标题 Char2"/>
    <w:qFormat/>
    <w:uiPriority w:val="11"/>
    <w:rPr>
      <w:rFonts w:ascii="Cambria" w:hAnsi="Cambria" w:eastAsia="宋体" w:cs="Times New Roman"/>
      <w:b/>
      <w:bCs/>
      <w:kern w:val="28"/>
      <w:sz w:val="32"/>
      <w:szCs w:val="32"/>
    </w:rPr>
  </w:style>
  <w:style w:type="character" w:customStyle="1" w:styleId="305">
    <w:name w:val="明显引用 Char4"/>
    <w:link w:val="127"/>
    <w:qFormat/>
    <w:uiPriority w:val="0"/>
    <w:rPr>
      <w:b/>
      <w:bCs/>
      <w:i/>
      <w:iCs/>
      <w:color w:val="4F81BD"/>
      <w:kern w:val="2"/>
      <w:sz w:val="21"/>
      <w:szCs w:val="22"/>
      <w:lang w:bidi="ar-SA"/>
    </w:rPr>
  </w:style>
  <w:style w:type="character" w:customStyle="1" w:styleId="306">
    <w:name w:val="明显引用 Char1"/>
    <w:link w:val="120"/>
    <w:qFormat/>
    <w:uiPriority w:val="30"/>
    <w:rPr>
      <w:b/>
      <w:bCs/>
      <w:i/>
      <w:iCs/>
      <w:color w:val="4F81BD"/>
      <w:kern w:val="2"/>
      <w:sz w:val="21"/>
    </w:rPr>
  </w:style>
  <w:style w:type="character" w:customStyle="1" w:styleId="307">
    <w:name w:val="HTML 预设格式 Char1"/>
    <w:qFormat/>
    <w:uiPriority w:val="0"/>
    <w:rPr>
      <w:rFonts w:ascii="宋体" w:hAnsi="宋体" w:cs="宋体"/>
      <w:color w:val="000000"/>
      <w:sz w:val="24"/>
      <w:szCs w:val="24"/>
    </w:rPr>
  </w:style>
  <w:style w:type="character" w:customStyle="1" w:styleId="308">
    <w:name w:val="引用 Char"/>
    <w:link w:val="78"/>
    <w:qFormat/>
    <w:uiPriority w:val="0"/>
    <w:rPr>
      <w:rFonts w:ascii="Times New Roman" w:hAnsi="Times New Roman" w:eastAsia="宋体" w:cs="Times New Roman"/>
      <w:i/>
      <w:iCs/>
      <w:color w:val="000000"/>
      <w:kern w:val="2"/>
      <w:sz w:val="21"/>
      <w:szCs w:val="24"/>
    </w:rPr>
  </w:style>
  <w:style w:type="character" w:customStyle="1" w:styleId="309">
    <w:name w:val="副标题 Char3"/>
    <w:link w:val="33"/>
    <w:qFormat/>
    <w:uiPriority w:val="0"/>
    <w:rPr>
      <w:rFonts w:eastAsia="宋体"/>
      <w:szCs w:val="24"/>
      <w:u w:val="single"/>
      <w:lang w:val="en-US" w:eastAsia="en-US" w:bidi="ar-SA"/>
    </w:rPr>
  </w:style>
  <w:style w:type="character" w:customStyle="1" w:styleId="310">
    <w:name w:val="ITTHEADER1 Char"/>
    <w:qFormat/>
    <w:uiPriority w:val="0"/>
    <w:rPr>
      <w:rFonts w:eastAsia="黑体"/>
      <w:kern w:val="2"/>
      <w:sz w:val="44"/>
      <w:szCs w:val="44"/>
      <w:lang w:val="en-US" w:eastAsia="zh-CN" w:bidi="ar-SA"/>
    </w:rPr>
  </w:style>
  <w:style w:type="character" w:customStyle="1" w:styleId="311">
    <w:name w:val="日期 Char3"/>
    <w:semiHidden/>
    <w:qFormat/>
    <w:uiPriority w:val="99"/>
    <w:rPr>
      <w:rFonts w:ascii="Calibri" w:hAnsi="Calibri" w:eastAsia="宋体" w:cs="Times New Roman"/>
      <w:szCs w:val="24"/>
    </w:rPr>
  </w:style>
  <w:style w:type="character" w:customStyle="1" w:styleId="312">
    <w:name w:val="纯文本 Char3"/>
    <w:link w:val="23"/>
    <w:qFormat/>
    <w:uiPriority w:val="0"/>
    <w:rPr>
      <w:rFonts w:ascii="宋体" w:hAnsi="Courier New" w:eastAsia="宋体" w:cs="Courier New"/>
      <w:kern w:val="2"/>
      <w:sz w:val="21"/>
      <w:szCs w:val="21"/>
      <w:lang w:val="en-US" w:eastAsia="zh-CN" w:bidi="ar-SA"/>
    </w:rPr>
  </w:style>
  <w:style w:type="character" w:customStyle="1" w:styleId="313">
    <w:name w:val="批注文字 Char"/>
    <w:qFormat/>
    <w:uiPriority w:val="0"/>
    <w:rPr>
      <w:rFonts w:ascii="Times New Roman" w:hAnsi="Times New Roman" w:eastAsia="宋体" w:cs="Times New Roman"/>
      <w:kern w:val="2"/>
      <w:sz w:val="21"/>
      <w:szCs w:val="24"/>
    </w:rPr>
  </w:style>
  <w:style w:type="character" w:customStyle="1" w:styleId="314">
    <w:name w:val="Section Char"/>
    <w:qFormat/>
    <w:uiPriority w:val="0"/>
    <w:rPr>
      <w:rFonts w:ascii="仿宋_GB2312" w:eastAsia="仿宋_GB2312" w:cs="MingLiU"/>
      <w:b/>
      <w:sz w:val="24"/>
      <w:szCs w:val="28"/>
      <w:lang w:val="en-US" w:eastAsia="zh-CN" w:bidi="ar-SA"/>
    </w:rPr>
  </w:style>
  <w:style w:type="character" w:customStyle="1" w:styleId="315">
    <w:name w:val="正文文本 3 Char2"/>
    <w:semiHidden/>
    <w:qFormat/>
    <w:uiPriority w:val="99"/>
    <w:rPr>
      <w:rFonts w:ascii="Calibri" w:hAnsi="Calibri" w:eastAsia="宋体" w:cs="Times New Roman"/>
      <w:sz w:val="16"/>
      <w:szCs w:val="16"/>
    </w:rPr>
  </w:style>
  <w:style w:type="character" w:customStyle="1" w:styleId="316">
    <w:name w:val="正文文本 3 Char3"/>
    <w:link w:val="17"/>
    <w:qFormat/>
    <w:uiPriority w:val="0"/>
    <w:rPr>
      <w:rFonts w:eastAsia="宋体"/>
      <w:kern w:val="2"/>
      <w:sz w:val="16"/>
      <w:szCs w:val="16"/>
      <w:lang w:val="en-US" w:eastAsia="zh-CN" w:bidi="ar-SA"/>
    </w:rPr>
  </w:style>
  <w:style w:type="character" w:customStyle="1" w:styleId="317">
    <w:name w:val="普通文字 Char Char1"/>
    <w:qFormat/>
    <w:uiPriority w:val="0"/>
    <w:rPr>
      <w:rFonts w:ascii="宋体" w:hAnsi="Courier New"/>
      <w:kern w:val="2"/>
      <w:sz w:val="28"/>
      <w:szCs w:val="28"/>
    </w:rPr>
  </w:style>
  <w:style w:type="character" w:customStyle="1" w:styleId="318">
    <w:name w:val="正文文本缩进 Char"/>
    <w:qFormat/>
    <w:uiPriority w:val="0"/>
    <w:rPr>
      <w:rFonts w:ascii="黑体" w:hAnsi="宋体" w:eastAsia="黑体"/>
      <w:color w:val="000000"/>
      <w:sz w:val="28"/>
      <w:szCs w:val="32"/>
    </w:rPr>
  </w:style>
  <w:style w:type="character" w:customStyle="1" w:styleId="319">
    <w:name w:val="font161"/>
    <w:qFormat/>
    <w:uiPriority w:val="0"/>
    <w:rPr>
      <w:b/>
      <w:bCs/>
      <w:sz w:val="32"/>
      <w:szCs w:val="32"/>
    </w:rPr>
  </w:style>
  <w:style w:type="paragraph" w:customStyle="1" w:styleId="320">
    <w:name w:val="列出段落2"/>
    <w:basedOn w:val="1"/>
    <w:qFormat/>
    <w:uiPriority w:val="99"/>
    <w:pPr>
      <w:ind w:firstLine="420" w:firstLineChars="200"/>
    </w:pPr>
    <w:rPr>
      <w:sz w:val="28"/>
      <w:szCs w:val="28"/>
    </w:rPr>
  </w:style>
  <w:style w:type="paragraph" w:customStyle="1" w:styleId="32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22">
    <w:name w:val="目录 53"/>
    <w:next w:val="1"/>
    <w:qFormat/>
    <w:uiPriority w:val="99"/>
    <w:pPr>
      <w:wordWrap w:val="0"/>
      <w:ind w:left="1275"/>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235</Pages>
  <Words>134454</Words>
  <Characters>140796</Characters>
  <Lines>186</Lines>
  <Paragraphs>305</Paragraphs>
  <TotalTime>53</TotalTime>
  <ScaleCrop>false</ScaleCrop>
  <LinksUpToDate>false</LinksUpToDate>
  <CharactersWithSpaces>150621</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2022-07-15T07:05:00Z</dcterms:created>
  <dc:creator>USER</dc:creator>
  <cp:lastModifiedBy>钟亮</cp:lastModifiedBy>
  <cp:lastPrinted>2020-08-27T03:13:00Z</cp:lastPrinted>
  <dcterms:modified xsi:type="dcterms:W3CDTF">2023-09-19T07:01:36Z</dcterms:modified>
  <dc:title>第一卷</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79B6500CA8A146DF9DBBA58B57CF1930</vt:lpwstr>
  </property>
</Properties>
</file>